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73754" w:rsidRPr="00F8577F" w14:paraId="445E2CD4" w14:textId="77777777" w:rsidTr="00973754">
        <w:trPr>
          <w:jc w:val="right"/>
        </w:trPr>
        <w:tc>
          <w:tcPr>
            <w:tcW w:w="5670" w:type="dxa"/>
          </w:tcPr>
          <w:p w14:paraId="192D09EF" w14:textId="77777777" w:rsidR="00973754" w:rsidRPr="00F8577F" w:rsidRDefault="00973754" w:rsidP="0097375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8577F">
              <w:rPr>
                <w:rFonts w:ascii="Arial" w:hAnsi="Arial" w:cs="Arial"/>
                <w:b/>
                <w:sz w:val="20"/>
              </w:rPr>
              <w:t>ЗАТВЕРДЖЕНО</w:t>
            </w:r>
          </w:p>
          <w:p w14:paraId="6FE2CE18" w14:textId="77777777" w:rsidR="00973754" w:rsidRPr="00F8577F" w:rsidRDefault="00973754" w:rsidP="00973754">
            <w:pPr>
              <w:jc w:val="right"/>
              <w:rPr>
                <w:rFonts w:ascii="Arial" w:hAnsi="Arial" w:cs="Arial"/>
                <w:sz w:val="20"/>
              </w:rPr>
            </w:pPr>
            <w:r w:rsidRPr="00F8577F">
              <w:rPr>
                <w:rFonts w:ascii="Arial" w:hAnsi="Arial" w:cs="Arial"/>
                <w:sz w:val="20"/>
              </w:rPr>
              <w:t xml:space="preserve">Правлінням </w:t>
            </w:r>
            <w:r w:rsidR="00151C64" w:rsidRPr="00F8577F">
              <w:rPr>
                <w:rFonts w:ascii="Arial" w:hAnsi="Arial" w:cs="Arial"/>
                <w:sz w:val="20"/>
              </w:rPr>
              <w:t>ПАТ «Розрахунковий центр»</w:t>
            </w:r>
          </w:p>
          <w:p w14:paraId="6B09585E" w14:textId="0759FAC1" w:rsidR="00973754" w:rsidRPr="00F8577F" w:rsidRDefault="00973754" w:rsidP="00973754">
            <w:pPr>
              <w:jc w:val="right"/>
              <w:rPr>
                <w:rFonts w:ascii="Arial" w:hAnsi="Arial" w:cs="Arial"/>
                <w:sz w:val="20"/>
              </w:rPr>
            </w:pPr>
            <w:r w:rsidRPr="00F8577F">
              <w:rPr>
                <w:rFonts w:ascii="Arial" w:hAnsi="Arial" w:cs="Arial"/>
                <w:sz w:val="20"/>
              </w:rPr>
              <w:t>Протокол №</w:t>
            </w:r>
            <w:r w:rsidR="006371BE">
              <w:rPr>
                <w:rFonts w:ascii="Arial" w:hAnsi="Arial" w:cs="Arial"/>
                <w:sz w:val="20"/>
              </w:rPr>
              <w:t>42</w:t>
            </w:r>
            <w:r w:rsidR="006371BE" w:rsidRPr="00F8577F">
              <w:rPr>
                <w:rFonts w:ascii="Arial" w:hAnsi="Arial" w:cs="Arial"/>
                <w:sz w:val="20"/>
              </w:rPr>
              <w:t xml:space="preserve"> </w:t>
            </w:r>
            <w:r w:rsidRPr="00F8577F">
              <w:rPr>
                <w:rFonts w:ascii="Arial" w:hAnsi="Arial" w:cs="Arial"/>
                <w:sz w:val="20"/>
              </w:rPr>
              <w:t xml:space="preserve">від </w:t>
            </w:r>
            <w:r w:rsidR="006371BE">
              <w:rPr>
                <w:rFonts w:ascii="Arial" w:hAnsi="Arial" w:cs="Arial"/>
                <w:sz w:val="20"/>
              </w:rPr>
              <w:t>1</w:t>
            </w:r>
            <w:r w:rsidR="006371BE">
              <w:rPr>
                <w:rFonts w:ascii="Arial" w:hAnsi="Arial" w:cs="Arial"/>
                <w:sz w:val="20"/>
              </w:rPr>
              <w:t>2</w:t>
            </w:r>
            <w:r w:rsidR="004069B1">
              <w:rPr>
                <w:rFonts w:ascii="Arial" w:hAnsi="Arial" w:cs="Arial"/>
                <w:sz w:val="20"/>
              </w:rPr>
              <w:t>.</w:t>
            </w:r>
            <w:r w:rsidR="006371BE">
              <w:rPr>
                <w:rFonts w:ascii="Arial" w:hAnsi="Arial" w:cs="Arial"/>
                <w:sz w:val="20"/>
              </w:rPr>
              <w:t>09</w:t>
            </w:r>
            <w:r w:rsidR="004069B1">
              <w:rPr>
                <w:rFonts w:ascii="Arial" w:hAnsi="Arial" w:cs="Arial"/>
                <w:sz w:val="20"/>
              </w:rPr>
              <w:t>.</w:t>
            </w:r>
            <w:r w:rsidR="006371BE">
              <w:rPr>
                <w:rFonts w:ascii="Arial" w:hAnsi="Arial" w:cs="Arial"/>
                <w:sz w:val="20"/>
              </w:rPr>
              <w:t>202</w:t>
            </w:r>
            <w:r w:rsidR="006371BE">
              <w:rPr>
                <w:rFonts w:ascii="Arial" w:hAnsi="Arial" w:cs="Arial"/>
                <w:sz w:val="20"/>
              </w:rPr>
              <w:t>4</w:t>
            </w:r>
            <w:r w:rsidR="006371BE" w:rsidRPr="00F8577F">
              <w:rPr>
                <w:rFonts w:ascii="Arial" w:hAnsi="Arial" w:cs="Arial"/>
                <w:sz w:val="20"/>
              </w:rPr>
              <w:t>р</w:t>
            </w:r>
            <w:r w:rsidR="003F7DD1" w:rsidRPr="00F8577F">
              <w:rPr>
                <w:rFonts w:ascii="Arial" w:hAnsi="Arial" w:cs="Arial"/>
                <w:sz w:val="20"/>
              </w:rPr>
              <w:t>.</w:t>
            </w:r>
          </w:p>
          <w:p w14:paraId="608FEC7B" w14:textId="77777777" w:rsidR="00973754" w:rsidRPr="00F8577F" w:rsidRDefault="00973754" w:rsidP="00973754">
            <w:pPr>
              <w:jc w:val="right"/>
              <w:rPr>
                <w:rFonts w:ascii="Arial" w:hAnsi="Arial" w:cs="Arial"/>
                <w:sz w:val="20"/>
              </w:rPr>
            </w:pPr>
          </w:p>
          <w:p w14:paraId="0C701EE7" w14:textId="77777777" w:rsidR="00973754" w:rsidRPr="00F8577F" w:rsidRDefault="00DF2A39" w:rsidP="00580AC8">
            <w:pPr>
              <w:jc w:val="right"/>
              <w:rPr>
                <w:rFonts w:ascii="Arial" w:hAnsi="Arial" w:cs="Arial"/>
                <w:sz w:val="20"/>
              </w:rPr>
            </w:pPr>
            <w:r w:rsidRPr="00F8577F">
              <w:rPr>
                <w:rFonts w:ascii="Arial" w:hAnsi="Arial" w:cs="Arial"/>
                <w:sz w:val="20"/>
              </w:rPr>
              <w:t>Г</w:t>
            </w:r>
            <w:r w:rsidR="00973754" w:rsidRPr="00F8577F">
              <w:rPr>
                <w:rFonts w:ascii="Arial" w:hAnsi="Arial" w:cs="Arial"/>
                <w:sz w:val="20"/>
              </w:rPr>
              <w:t>олов</w:t>
            </w:r>
            <w:r w:rsidRPr="00F8577F">
              <w:rPr>
                <w:rFonts w:ascii="Arial" w:hAnsi="Arial" w:cs="Arial"/>
                <w:sz w:val="20"/>
              </w:rPr>
              <w:t>а</w:t>
            </w:r>
            <w:r w:rsidR="00973754" w:rsidRPr="00F8577F">
              <w:rPr>
                <w:rFonts w:ascii="Arial" w:hAnsi="Arial" w:cs="Arial"/>
                <w:sz w:val="20"/>
              </w:rPr>
              <w:t xml:space="preserve"> Правління ____________ </w:t>
            </w:r>
            <w:r w:rsidR="00580AC8" w:rsidRPr="00F8577F">
              <w:rPr>
                <w:rFonts w:ascii="Arial" w:hAnsi="Arial" w:cs="Arial"/>
                <w:sz w:val="20"/>
              </w:rPr>
              <w:t>О</w:t>
            </w:r>
            <w:r w:rsidR="00973754" w:rsidRPr="00F8577F">
              <w:rPr>
                <w:rFonts w:ascii="Arial" w:hAnsi="Arial" w:cs="Arial"/>
                <w:sz w:val="20"/>
              </w:rPr>
              <w:t>.</w:t>
            </w:r>
            <w:r w:rsidR="00580AC8" w:rsidRPr="00F8577F">
              <w:rPr>
                <w:rFonts w:ascii="Arial" w:hAnsi="Arial" w:cs="Arial"/>
                <w:sz w:val="20"/>
              </w:rPr>
              <w:t>В</w:t>
            </w:r>
            <w:r w:rsidR="00973754" w:rsidRPr="00F8577F">
              <w:rPr>
                <w:rFonts w:ascii="Arial" w:hAnsi="Arial" w:cs="Arial"/>
                <w:sz w:val="20"/>
              </w:rPr>
              <w:t xml:space="preserve">. </w:t>
            </w:r>
            <w:r w:rsidR="00580AC8" w:rsidRPr="00F8577F">
              <w:rPr>
                <w:rFonts w:ascii="Arial" w:hAnsi="Arial" w:cs="Arial"/>
                <w:sz w:val="20"/>
              </w:rPr>
              <w:t>Ткаченко</w:t>
            </w:r>
          </w:p>
        </w:tc>
      </w:tr>
    </w:tbl>
    <w:p w14:paraId="6BEAA199" w14:textId="77777777" w:rsidR="00323ECD" w:rsidRPr="00F8577F" w:rsidRDefault="00323ECD" w:rsidP="00323ECD">
      <w:pPr>
        <w:spacing w:before="200" w:line="240" w:lineRule="auto"/>
        <w:jc w:val="center"/>
        <w:rPr>
          <w:rFonts w:ascii="Arial" w:hAnsi="Arial" w:cs="Arial"/>
          <w:b/>
          <w:sz w:val="20"/>
        </w:rPr>
      </w:pPr>
    </w:p>
    <w:p w14:paraId="23464998" w14:textId="77777777" w:rsidR="00C92E57" w:rsidRPr="00F8577F" w:rsidRDefault="00C92E57" w:rsidP="007E25E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F8577F">
        <w:rPr>
          <w:rFonts w:ascii="Arial" w:hAnsi="Arial" w:cs="Arial"/>
          <w:b/>
          <w:sz w:val="20"/>
        </w:rPr>
        <w:t>ТАРИФИ</w:t>
      </w:r>
    </w:p>
    <w:p w14:paraId="5A820BFB" w14:textId="77777777" w:rsidR="00C92E57" w:rsidRPr="00F8577F" w:rsidRDefault="00C92E57" w:rsidP="007E25EF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F8577F">
        <w:rPr>
          <w:rFonts w:ascii="Arial" w:hAnsi="Arial" w:cs="Arial"/>
          <w:b/>
          <w:sz w:val="20"/>
        </w:rPr>
        <w:t xml:space="preserve">НА ПОСЛУГИ ПУБЛІЧНОГО АКЦІОНЕРНОГО ТОВАРИСТВА </w:t>
      </w:r>
      <w:r w:rsidR="00FF2294" w:rsidRPr="00F8577F">
        <w:rPr>
          <w:rFonts w:ascii="Arial" w:hAnsi="Arial" w:cs="Arial"/>
          <w:b/>
          <w:sz w:val="20"/>
        </w:rPr>
        <w:t>«</w:t>
      </w:r>
      <w:r w:rsidRPr="00F8577F">
        <w:rPr>
          <w:rFonts w:ascii="Arial" w:hAnsi="Arial" w:cs="Arial"/>
          <w:b/>
          <w:sz w:val="20"/>
        </w:rPr>
        <w:t>РОЗРАХУНКОВИЙ ЦЕНТР З ОБСЛУГОВУВАННЯ ДОГОВОРІВ НА ФІНАНСОВИХ РИНКАХ</w:t>
      </w:r>
      <w:r w:rsidR="00FF2294" w:rsidRPr="00F8577F">
        <w:rPr>
          <w:rFonts w:ascii="Arial" w:hAnsi="Arial" w:cs="Arial"/>
          <w:sz w:val="20"/>
        </w:rPr>
        <w:t>»</w:t>
      </w:r>
    </w:p>
    <w:p w14:paraId="4A128C20" w14:textId="77777777" w:rsidR="006C10BE" w:rsidRDefault="006C10BE" w:rsidP="00C92E57">
      <w:pPr>
        <w:spacing w:after="120" w:line="240" w:lineRule="auto"/>
        <w:ind w:firstLine="720"/>
        <w:jc w:val="both"/>
        <w:rPr>
          <w:rFonts w:ascii="Arial" w:hAnsi="Arial" w:cs="Arial"/>
          <w:b/>
          <w:sz w:val="20"/>
        </w:rPr>
      </w:pPr>
    </w:p>
    <w:p w14:paraId="44968FB3" w14:textId="77777777" w:rsidR="00C92E57" w:rsidRPr="00F8577F" w:rsidRDefault="00C92E57" w:rsidP="00C92E57">
      <w:pPr>
        <w:spacing w:after="120" w:line="240" w:lineRule="auto"/>
        <w:ind w:firstLine="720"/>
        <w:jc w:val="both"/>
        <w:rPr>
          <w:rFonts w:ascii="Arial" w:hAnsi="Arial" w:cs="Arial"/>
          <w:b/>
          <w:sz w:val="20"/>
        </w:rPr>
      </w:pPr>
      <w:r w:rsidRPr="00F8577F">
        <w:rPr>
          <w:rFonts w:ascii="Arial" w:hAnsi="Arial" w:cs="Arial"/>
          <w:b/>
          <w:sz w:val="20"/>
        </w:rPr>
        <w:t xml:space="preserve">Вартість послуг згідно цих Тарифів на послуги публічного акціонерного товариства </w:t>
      </w:r>
      <w:r w:rsidR="00FF2294" w:rsidRPr="00F8577F">
        <w:rPr>
          <w:rFonts w:ascii="Arial" w:hAnsi="Arial" w:cs="Arial"/>
          <w:b/>
          <w:sz w:val="20"/>
        </w:rPr>
        <w:t>«</w:t>
      </w:r>
      <w:r w:rsidRPr="00F8577F">
        <w:rPr>
          <w:rFonts w:ascii="Arial" w:hAnsi="Arial" w:cs="Arial"/>
          <w:b/>
          <w:sz w:val="20"/>
        </w:rPr>
        <w:t>Розрахунковий центр з обслуговування договорів на фінансових ринках</w:t>
      </w:r>
      <w:r w:rsidR="00FF2294" w:rsidRPr="00F8577F">
        <w:rPr>
          <w:rFonts w:ascii="Arial" w:hAnsi="Arial" w:cs="Arial"/>
          <w:b/>
          <w:sz w:val="20"/>
        </w:rPr>
        <w:t>»</w:t>
      </w:r>
      <w:r w:rsidRPr="00F8577F">
        <w:rPr>
          <w:rFonts w:ascii="Arial" w:hAnsi="Arial" w:cs="Arial"/>
          <w:b/>
          <w:sz w:val="20"/>
        </w:rPr>
        <w:t xml:space="preserve"> (далі – Розрахунковий центр), окрім послуг за пунктом 10 розділу І цих Тарифів, нараховується один раз на місяць у останній операційний день місяця, в якому здійснювалося надання послуг.</w:t>
      </w:r>
    </w:p>
    <w:p w14:paraId="5F13AB54" w14:textId="77777777" w:rsidR="00C92E57" w:rsidRPr="00F8577F" w:rsidRDefault="00C92E57" w:rsidP="00C92E57">
      <w:pPr>
        <w:spacing w:after="120" w:line="240" w:lineRule="auto"/>
        <w:ind w:firstLine="720"/>
        <w:jc w:val="both"/>
        <w:rPr>
          <w:rFonts w:ascii="Arial" w:hAnsi="Arial" w:cs="Arial"/>
          <w:sz w:val="20"/>
        </w:rPr>
      </w:pPr>
      <w:r w:rsidRPr="00F8577F">
        <w:rPr>
          <w:rFonts w:ascii="Arial" w:hAnsi="Arial" w:cs="Arial"/>
          <w:sz w:val="20"/>
        </w:rPr>
        <w:t xml:space="preserve">Оплата клірингових послуг здійснюється клієнтом самостійно на підставі </w:t>
      </w:r>
      <w:proofErr w:type="spellStart"/>
      <w:r w:rsidRPr="00F8577F">
        <w:rPr>
          <w:rFonts w:ascii="Arial" w:hAnsi="Arial" w:cs="Arial"/>
          <w:sz w:val="20"/>
        </w:rPr>
        <w:t>акта</w:t>
      </w:r>
      <w:proofErr w:type="spellEnd"/>
      <w:r w:rsidRPr="00F8577F">
        <w:rPr>
          <w:rFonts w:ascii="Arial" w:hAnsi="Arial" w:cs="Arial"/>
          <w:sz w:val="20"/>
        </w:rPr>
        <w:t xml:space="preserve"> приймання-передачі послуг (далі – акт) не пізніше передостаннього робочого дня місяця наступного за тим, в якому надавалися клірингові послуги, шляхом безготівкового перерахування коштів на рахунок Розрахункового центру, вказаний в акті. Акти надаються учасникам клірингу у порядку, передбаченому договорами про клірингове обслуговування та Регламентом провадження клірингової діяльності Розрахункового центру, не пізніше 10 числа місяця, наступного за місяцем надання послуг.</w:t>
      </w:r>
    </w:p>
    <w:p w14:paraId="10A0A589" w14:textId="77777777" w:rsidR="00C92E57" w:rsidRPr="00F8577F" w:rsidRDefault="00C92E57" w:rsidP="00C92E57">
      <w:pPr>
        <w:spacing w:after="120" w:line="240" w:lineRule="auto"/>
        <w:ind w:firstLine="720"/>
        <w:jc w:val="both"/>
        <w:rPr>
          <w:rFonts w:ascii="Arial" w:hAnsi="Arial" w:cs="Arial"/>
          <w:sz w:val="20"/>
        </w:rPr>
      </w:pPr>
      <w:r w:rsidRPr="00F8577F">
        <w:rPr>
          <w:rFonts w:ascii="Arial" w:hAnsi="Arial" w:cs="Arial"/>
          <w:sz w:val="20"/>
        </w:rPr>
        <w:t xml:space="preserve">Оплата послуг операторами організованого ринку капіталу здійснюється на підставі </w:t>
      </w:r>
      <w:proofErr w:type="spellStart"/>
      <w:r w:rsidRPr="00F8577F">
        <w:rPr>
          <w:rFonts w:ascii="Arial" w:hAnsi="Arial" w:cs="Arial"/>
          <w:sz w:val="20"/>
        </w:rPr>
        <w:t>акта</w:t>
      </w:r>
      <w:proofErr w:type="spellEnd"/>
      <w:r w:rsidRPr="00F8577F">
        <w:rPr>
          <w:rFonts w:ascii="Arial" w:hAnsi="Arial" w:cs="Arial"/>
          <w:sz w:val="20"/>
        </w:rPr>
        <w:t xml:space="preserve"> в строки, визначені договорами з операторами організованого ринку капіталу, шляхом безготівкового перерахування коштів на рахунок Розрахункового центру, вказаний в акті. Акти надаються операторам організованого ринку капіталу в порядку та строки, визначені договорами з операторами організованого ринку капіталу.</w:t>
      </w:r>
    </w:p>
    <w:p w14:paraId="7DFB4172" w14:textId="6633EE6B" w:rsidR="00C92E57" w:rsidRDefault="00C92E57" w:rsidP="00C92E57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8577F">
        <w:rPr>
          <w:rFonts w:ascii="Arial" w:hAnsi="Arial" w:cs="Arial"/>
          <w:b/>
          <w:sz w:val="20"/>
        </w:rPr>
        <w:t xml:space="preserve">Вартість послуг згідно пункту 10 розділу І цих Тарифів, нараховується </w:t>
      </w:r>
      <w:r w:rsidR="00784E5A">
        <w:rPr>
          <w:rFonts w:ascii="Arial" w:hAnsi="Arial" w:cs="Arial"/>
          <w:b/>
          <w:sz w:val="20"/>
        </w:rPr>
        <w:t xml:space="preserve">за </w:t>
      </w:r>
      <w:r w:rsidRPr="00F8577F">
        <w:rPr>
          <w:rFonts w:ascii="Arial" w:hAnsi="Arial" w:cs="Arial"/>
          <w:b/>
          <w:sz w:val="20"/>
        </w:rPr>
        <w:t>кожн</w:t>
      </w:r>
      <w:r w:rsidR="00784E5A">
        <w:rPr>
          <w:rFonts w:ascii="Arial" w:hAnsi="Arial" w:cs="Arial"/>
          <w:b/>
          <w:sz w:val="20"/>
        </w:rPr>
        <w:t>ий</w:t>
      </w:r>
      <w:r w:rsidRPr="00F8577F">
        <w:rPr>
          <w:rFonts w:ascii="Arial" w:hAnsi="Arial" w:cs="Arial"/>
          <w:b/>
          <w:sz w:val="20"/>
        </w:rPr>
        <w:t xml:space="preserve"> операційн</w:t>
      </w:r>
      <w:r w:rsidR="00784E5A">
        <w:rPr>
          <w:rFonts w:ascii="Arial" w:hAnsi="Arial" w:cs="Arial"/>
          <w:b/>
          <w:sz w:val="20"/>
        </w:rPr>
        <w:t>ий</w:t>
      </w:r>
      <w:r w:rsidRPr="00F8577F">
        <w:rPr>
          <w:rFonts w:ascii="Arial" w:hAnsi="Arial" w:cs="Arial"/>
          <w:b/>
          <w:sz w:val="20"/>
        </w:rPr>
        <w:t xml:space="preserve"> </w:t>
      </w:r>
      <w:r w:rsidR="00784E5A">
        <w:rPr>
          <w:rFonts w:ascii="Arial" w:hAnsi="Arial" w:cs="Arial"/>
          <w:b/>
          <w:sz w:val="20"/>
        </w:rPr>
        <w:t>день</w:t>
      </w:r>
      <w:r w:rsidRPr="00F8577F">
        <w:rPr>
          <w:rFonts w:ascii="Arial" w:hAnsi="Arial" w:cs="Arial"/>
          <w:b/>
          <w:sz w:val="20"/>
        </w:rPr>
        <w:t xml:space="preserve"> протягом дня наступного за днем надання послуги. </w:t>
      </w:r>
      <w:r w:rsidRPr="00F8577F">
        <w:rPr>
          <w:rFonts w:ascii="Arial" w:hAnsi="Arial" w:cs="Arial"/>
          <w:sz w:val="20"/>
        </w:rPr>
        <w:t xml:space="preserve">Оплата послуг здійснюється клієнтом самостійно на підставі </w:t>
      </w:r>
      <w:proofErr w:type="spellStart"/>
      <w:r w:rsidRPr="00F8577F">
        <w:rPr>
          <w:rFonts w:ascii="Arial" w:hAnsi="Arial" w:cs="Arial"/>
          <w:sz w:val="20"/>
        </w:rPr>
        <w:t>акта</w:t>
      </w:r>
      <w:proofErr w:type="spellEnd"/>
      <w:r w:rsidRPr="00F8577F">
        <w:rPr>
          <w:rFonts w:ascii="Arial" w:hAnsi="Arial" w:cs="Arial"/>
          <w:sz w:val="20"/>
        </w:rPr>
        <w:t xml:space="preserve"> не пізніше закінчення наступного операційного дня за днем нарахування вартості послуг шляхом безготівкового перерахування коштів на рахунок Розрахункового центру, вказаний в акті. Акти надаються в день нарахування вартості послуг засобами</w:t>
      </w:r>
      <w:r w:rsidR="00784E5A">
        <w:rPr>
          <w:rFonts w:ascii="Arial" w:hAnsi="Arial" w:cs="Arial"/>
          <w:sz w:val="20"/>
        </w:rPr>
        <w:t xml:space="preserve"> системи</w:t>
      </w:r>
      <w:r w:rsidRPr="00F8577F">
        <w:rPr>
          <w:rFonts w:ascii="Arial" w:hAnsi="Arial" w:cs="Arial"/>
          <w:sz w:val="20"/>
        </w:rPr>
        <w:t xml:space="preserve"> </w:t>
      </w:r>
      <w:r w:rsidR="00784E5A">
        <w:rPr>
          <w:rFonts w:ascii="Arial" w:hAnsi="Arial" w:cs="Arial"/>
          <w:sz w:val="20"/>
        </w:rPr>
        <w:t>«І</w:t>
      </w:r>
      <w:r w:rsidRPr="00F8577F">
        <w:rPr>
          <w:rFonts w:ascii="Arial" w:hAnsi="Arial" w:cs="Arial"/>
          <w:sz w:val="20"/>
        </w:rPr>
        <w:t>нтернет-кліринг</w:t>
      </w:r>
      <w:r w:rsidR="00784E5A">
        <w:rPr>
          <w:rFonts w:ascii="Arial" w:hAnsi="Arial" w:cs="Arial"/>
          <w:sz w:val="20"/>
        </w:rPr>
        <w:t>»</w:t>
      </w:r>
      <w:r w:rsidRPr="00F8577F">
        <w:rPr>
          <w:rFonts w:ascii="Arial" w:hAnsi="Arial" w:cs="Arial"/>
          <w:sz w:val="20"/>
        </w:rPr>
        <w:t>.</w:t>
      </w:r>
      <w:r w:rsidRPr="00F8577F">
        <w:rPr>
          <w:rFonts w:ascii="Arial" w:hAnsi="Arial" w:cs="Arial"/>
          <w:sz w:val="24"/>
          <w:szCs w:val="24"/>
        </w:rPr>
        <w:t xml:space="preserve"> </w:t>
      </w:r>
    </w:p>
    <w:p w14:paraId="2B0AB9F6" w14:textId="77777777" w:rsidR="00C92E57" w:rsidRPr="00F8577F" w:rsidRDefault="00C92E57" w:rsidP="00C92E57">
      <w:pPr>
        <w:spacing w:after="120" w:line="240" w:lineRule="auto"/>
        <w:ind w:firstLine="709"/>
        <w:jc w:val="both"/>
        <w:rPr>
          <w:rFonts w:ascii="Arial" w:hAnsi="Arial" w:cs="Arial"/>
          <w:b/>
          <w:sz w:val="20"/>
          <w:szCs w:val="24"/>
        </w:rPr>
      </w:pPr>
      <w:r w:rsidRPr="00F8577F">
        <w:rPr>
          <w:rFonts w:ascii="Arial" w:hAnsi="Arial" w:cs="Arial"/>
          <w:b/>
          <w:sz w:val="20"/>
          <w:szCs w:val="24"/>
        </w:rPr>
        <w:t>Розрахунковий центр є платником податку на додану вартість.</w:t>
      </w:r>
    </w:p>
    <w:p w14:paraId="558CDC78" w14:textId="77777777" w:rsidR="00C92E57" w:rsidRPr="00F8577F" w:rsidRDefault="00C92E57" w:rsidP="00C92E57">
      <w:pPr>
        <w:spacing w:before="120" w:after="120" w:line="240" w:lineRule="auto"/>
        <w:ind w:firstLine="709"/>
        <w:rPr>
          <w:rFonts w:ascii="Arial" w:hAnsi="Arial" w:cs="Arial"/>
          <w:b/>
          <w:sz w:val="20"/>
          <w:szCs w:val="24"/>
        </w:rPr>
      </w:pPr>
      <w:r w:rsidRPr="00F8577F">
        <w:rPr>
          <w:rFonts w:ascii="Arial" w:hAnsi="Arial" w:cs="Arial"/>
          <w:b/>
          <w:sz w:val="20"/>
          <w:szCs w:val="24"/>
        </w:rPr>
        <w:t>Індивідуальний податковий номер 359178826590.</w:t>
      </w:r>
    </w:p>
    <w:p w14:paraId="17F2DA16" w14:textId="77777777" w:rsidR="008D28F3" w:rsidRPr="00F8577F" w:rsidRDefault="00D233F1" w:rsidP="00E81358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F8577F">
        <w:rPr>
          <w:rFonts w:ascii="Arial" w:hAnsi="Arial" w:cs="Arial"/>
          <w:b/>
          <w:sz w:val="20"/>
          <w:szCs w:val="20"/>
        </w:rPr>
        <w:t xml:space="preserve">І. </w:t>
      </w:r>
      <w:r w:rsidR="008D28F3" w:rsidRPr="00F8577F">
        <w:rPr>
          <w:rFonts w:ascii="Arial" w:hAnsi="Arial" w:cs="Arial"/>
          <w:b/>
          <w:sz w:val="20"/>
          <w:szCs w:val="20"/>
        </w:rPr>
        <w:t>Тарифи</w:t>
      </w:r>
      <w:r w:rsidR="00323ECD" w:rsidRPr="00F8577F">
        <w:rPr>
          <w:rFonts w:ascii="Arial" w:hAnsi="Arial" w:cs="Arial"/>
          <w:b/>
          <w:sz w:val="20"/>
          <w:szCs w:val="20"/>
        </w:rPr>
        <w:t xml:space="preserve"> </w:t>
      </w:r>
      <w:r w:rsidR="008D28F3" w:rsidRPr="00F8577F">
        <w:rPr>
          <w:rFonts w:ascii="Arial" w:hAnsi="Arial" w:cs="Arial"/>
          <w:b/>
          <w:sz w:val="20"/>
          <w:szCs w:val="20"/>
        </w:rPr>
        <w:t xml:space="preserve">на послуги </w:t>
      </w:r>
      <w:r w:rsidR="00151C64" w:rsidRPr="00F8577F">
        <w:rPr>
          <w:rFonts w:ascii="Arial" w:hAnsi="Arial" w:cs="Arial"/>
          <w:b/>
          <w:sz w:val="20"/>
          <w:szCs w:val="20"/>
        </w:rPr>
        <w:t>ПАТ «Розрахунковий центр»</w:t>
      </w:r>
      <w:r w:rsidR="00FA77C6" w:rsidRPr="00F8577F">
        <w:rPr>
          <w:rFonts w:ascii="Arial" w:hAnsi="Arial" w:cs="Arial"/>
          <w:b/>
          <w:sz w:val="20"/>
          <w:szCs w:val="20"/>
        </w:rPr>
        <w:t>,</w:t>
      </w:r>
    </w:p>
    <w:p w14:paraId="5AA54672" w14:textId="77777777" w:rsidR="006954FB" w:rsidRPr="00F8577F" w:rsidRDefault="00E37FBF" w:rsidP="00E81358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F8577F">
        <w:rPr>
          <w:rFonts w:ascii="Arial" w:hAnsi="Arial" w:cs="Arial"/>
          <w:b/>
          <w:sz w:val="20"/>
          <w:szCs w:val="20"/>
        </w:rPr>
        <w:t xml:space="preserve">що сплачуються </w:t>
      </w:r>
      <w:r w:rsidR="006954FB" w:rsidRPr="00F8577F">
        <w:rPr>
          <w:rFonts w:ascii="Arial" w:hAnsi="Arial" w:cs="Arial"/>
          <w:b/>
          <w:sz w:val="20"/>
          <w:szCs w:val="20"/>
        </w:rPr>
        <w:t>учасникам</w:t>
      </w:r>
      <w:r w:rsidRPr="00F8577F">
        <w:rPr>
          <w:rFonts w:ascii="Arial" w:hAnsi="Arial" w:cs="Arial"/>
          <w:b/>
          <w:sz w:val="20"/>
          <w:szCs w:val="20"/>
        </w:rPr>
        <w:t>и</w:t>
      </w:r>
      <w:r w:rsidR="006954FB" w:rsidRPr="00F8577F">
        <w:rPr>
          <w:rFonts w:ascii="Arial" w:hAnsi="Arial" w:cs="Arial"/>
          <w:b/>
          <w:sz w:val="20"/>
          <w:szCs w:val="20"/>
        </w:rPr>
        <w:t xml:space="preserve"> клірингу</w:t>
      </w:r>
    </w:p>
    <w:p w14:paraId="118C760F" w14:textId="77777777" w:rsidR="00E81358" w:rsidRPr="00F8577F" w:rsidRDefault="00E81358" w:rsidP="00E81358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5245"/>
      </w:tblGrid>
      <w:tr w:rsidR="009E36A4" w:rsidRPr="00F8577F" w14:paraId="30308837" w14:textId="77777777" w:rsidTr="007E25EF">
        <w:tc>
          <w:tcPr>
            <w:tcW w:w="709" w:type="dxa"/>
          </w:tcPr>
          <w:p w14:paraId="5499CD7A" w14:textId="77777777" w:rsidR="009E36A4" w:rsidRPr="00F8577F" w:rsidRDefault="009E36A4" w:rsidP="00774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77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14:paraId="2B6CABB8" w14:textId="77777777" w:rsidR="009E36A4" w:rsidRPr="00F8577F" w:rsidRDefault="009E36A4" w:rsidP="00E8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77F">
              <w:rPr>
                <w:rFonts w:ascii="Arial" w:hAnsi="Arial" w:cs="Arial"/>
                <w:b/>
                <w:sz w:val="20"/>
                <w:szCs w:val="20"/>
              </w:rPr>
              <w:t>Найменування тарифу</w:t>
            </w:r>
          </w:p>
        </w:tc>
        <w:tc>
          <w:tcPr>
            <w:tcW w:w="5245" w:type="dxa"/>
          </w:tcPr>
          <w:p w14:paraId="030488FD" w14:textId="77777777" w:rsidR="009E36A4" w:rsidRPr="00F8577F" w:rsidRDefault="009E36A4" w:rsidP="00E8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77F">
              <w:rPr>
                <w:rFonts w:ascii="Arial" w:hAnsi="Arial" w:cs="Arial"/>
                <w:b/>
                <w:sz w:val="20"/>
                <w:szCs w:val="20"/>
              </w:rPr>
              <w:t>Вартість</w:t>
            </w:r>
          </w:p>
          <w:p w14:paraId="60080EE6" w14:textId="77777777" w:rsidR="00C92E57" w:rsidRPr="00F8577F" w:rsidRDefault="00C92E57" w:rsidP="00E8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6A4" w:rsidRPr="00F8577F" w14:paraId="439898D0" w14:textId="77777777" w:rsidTr="007E25EF">
        <w:trPr>
          <w:trHeight w:val="401"/>
        </w:trPr>
        <w:tc>
          <w:tcPr>
            <w:tcW w:w="709" w:type="dxa"/>
          </w:tcPr>
          <w:p w14:paraId="50E67DB9" w14:textId="77777777" w:rsidR="009E36A4" w:rsidRPr="00F8577F" w:rsidRDefault="009E36A4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14:paraId="3571F095" w14:textId="77777777" w:rsidR="009E36A4" w:rsidRPr="00F8577F" w:rsidRDefault="00E81358" w:rsidP="003A35F0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 xml:space="preserve">Відкриття клірингового рахунку / субрахунку учасника клірингу (включає вартість закриття рахунку / субрахунку) з підключенням до системи дистанційного обслуговування клірингових рахунків/субрахунків </w:t>
            </w:r>
            <w:r w:rsidR="003A35F0">
              <w:rPr>
                <w:rFonts w:ascii="Arial" w:hAnsi="Arial" w:cs="Arial"/>
                <w:sz w:val="20"/>
                <w:szCs w:val="20"/>
              </w:rPr>
              <w:t>«</w:t>
            </w:r>
            <w:r w:rsidRPr="00F8577F">
              <w:rPr>
                <w:rFonts w:ascii="Arial" w:hAnsi="Arial" w:cs="Arial"/>
                <w:sz w:val="20"/>
                <w:szCs w:val="20"/>
              </w:rPr>
              <w:t>Інтернет-кліринг</w:t>
            </w:r>
            <w:r w:rsidR="003A35F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245" w:type="dxa"/>
            <w:vAlign w:val="center"/>
          </w:tcPr>
          <w:p w14:paraId="6F275DD1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900,00 грн. за кліринговий рахунок</w:t>
            </w:r>
          </w:p>
          <w:p w14:paraId="54470506" w14:textId="77777777" w:rsidR="00731A24" w:rsidRPr="00F8577F" w:rsidRDefault="00E81358" w:rsidP="00850DD6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та 250</w:t>
            </w:r>
            <w:r w:rsidR="00DC015E" w:rsidRPr="00F8577F">
              <w:rPr>
                <w:rFonts w:ascii="Arial" w:hAnsi="Arial" w:cs="Arial"/>
                <w:sz w:val="20"/>
                <w:szCs w:val="20"/>
              </w:rPr>
              <w:t>,00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грн. за кожний додатковий кліринговий рахунок/субрахунок</w:t>
            </w:r>
          </w:p>
        </w:tc>
      </w:tr>
      <w:tr w:rsidR="009E36A4" w:rsidRPr="00F8577F" w14:paraId="51B9C7CD" w14:textId="77777777" w:rsidTr="007E25EF">
        <w:trPr>
          <w:trHeight w:val="407"/>
        </w:trPr>
        <w:tc>
          <w:tcPr>
            <w:tcW w:w="709" w:type="dxa"/>
          </w:tcPr>
          <w:p w14:paraId="502B310A" w14:textId="77777777" w:rsidR="009E36A4" w:rsidRPr="00F8577F" w:rsidRDefault="009E36A4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2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14:paraId="24051F6E" w14:textId="77777777" w:rsidR="009E36A4" w:rsidRPr="00F8577F" w:rsidRDefault="00E81358" w:rsidP="0001747B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Обслуговування клірингового рахунку та субрахунків такого рахунку за повний або неповний календарний місяць</w:t>
            </w:r>
          </w:p>
        </w:tc>
        <w:tc>
          <w:tcPr>
            <w:tcW w:w="5245" w:type="dxa"/>
            <w:vAlign w:val="center"/>
          </w:tcPr>
          <w:p w14:paraId="73938DC8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3</w:t>
            </w:r>
            <w:r w:rsidR="00DC015E" w:rsidRPr="00F85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000,00 грн. </w:t>
            </w:r>
          </w:p>
          <w:p w14:paraId="7EB33527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плюс</w:t>
            </w:r>
          </w:p>
          <w:p w14:paraId="3C0B10FB" w14:textId="77777777" w:rsidR="00D37003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 xml:space="preserve">12,00 грн. за один </w:t>
            </w:r>
            <w:r w:rsidR="001614CD" w:rsidRPr="00F8577F">
              <w:rPr>
                <w:rFonts w:ascii="Arial" w:hAnsi="Arial" w:cs="Arial"/>
                <w:sz w:val="20"/>
                <w:szCs w:val="20"/>
              </w:rPr>
              <w:t>кліринговий рахунок/субрахунок</w:t>
            </w:r>
            <w:r w:rsidR="00EF14A1" w:rsidRPr="00F8577F">
              <w:rPr>
                <w:rFonts w:ascii="Arial" w:hAnsi="Arial" w:cs="Arial"/>
                <w:sz w:val="20"/>
                <w:szCs w:val="20"/>
              </w:rPr>
              <w:t>,</w:t>
            </w:r>
            <w:r w:rsidR="00D37003" w:rsidRPr="00F8577F">
              <w:rPr>
                <w:rFonts w:ascii="Arial" w:hAnsi="Arial" w:cs="Arial"/>
                <w:sz w:val="20"/>
                <w:szCs w:val="20"/>
              </w:rPr>
              <w:t xml:space="preserve"> окрім індивідуальних</w:t>
            </w:r>
            <w:r w:rsidR="00731A24" w:rsidRPr="00F8577F">
              <w:rPr>
                <w:rFonts w:ascii="Arial" w:hAnsi="Arial" w:cs="Arial"/>
                <w:sz w:val="20"/>
                <w:szCs w:val="20"/>
              </w:rPr>
              <w:t xml:space="preserve"> клірингових субрахунків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  <w:p w14:paraId="0F9731BF" w14:textId="77777777" w:rsidR="00731A24" w:rsidRPr="00F8577F" w:rsidRDefault="00731A24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та</w:t>
            </w:r>
          </w:p>
          <w:p w14:paraId="365C2795" w14:textId="77777777" w:rsidR="00D37003" w:rsidRPr="00F8577F" w:rsidRDefault="00D37003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1 2</w:t>
            </w:r>
            <w:r w:rsidR="00B503AB" w:rsidRPr="00F8577F">
              <w:rPr>
                <w:rFonts w:ascii="Arial" w:hAnsi="Arial" w:cs="Arial"/>
                <w:sz w:val="20"/>
                <w:szCs w:val="20"/>
              </w:rPr>
              <w:t>0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0,00 за </w:t>
            </w:r>
            <w:r w:rsidR="00731A24" w:rsidRPr="00F8577F">
              <w:rPr>
                <w:rFonts w:ascii="Arial" w:hAnsi="Arial" w:cs="Arial"/>
                <w:sz w:val="20"/>
                <w:szCs w:val="20"/>
              </w:rPr>
              <w:t>кожний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індивідуальний</w:t>
            </w:r>
            <w:r w:rsidR="00731A24" w:rsidRPr="00F8577F">
              <w:rPr>
                <w:rFonts w:ascii="Arial" w:hAnsi="Arial" w:cs="Arial"/>
                <w:sz w:val="20"/>
                <w:szCs w:val="20"/>
              </w:rPr>
              <w:t xml:space="preserve"> кліринговий субрахунок</w:t>
            </w:r>
          </w:p>
          <w:p w14:paraId="086745A4" w14:textId="77777777" w:rsidR="00D37003" w:rsidRPr="00F8577F" w:rsidRDefault="00D37003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7CE75521" w14:textId="77777777" w:rsidR="00D37003" w:rsidRPr="00F8577F" w:rsidRDefault="00E81358" w:rsidP="00954E2E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 xml:space="preserve">Сплачується за кожний кліринговий рахунок/субрахунок, підключений до системи </w:t>
            </w:r>
            <w:r w:rsidR="00954E2E">
              <w:rPr>
                <w:rFonts w:ascii="Arial" w:hAnsi="Arial" w:cs="Arial"/>
                <w:sz w:val="20"/>
                <w:szCs w:val="20"/>
              </w:rPr>
              <w:t>«</w:t>
            </w:r>
            <w:r w:rsidRPr="00F8577F">
              <w:rPr>
                <w:rFonts w:ascii="Arial" w:hAnsi="Arial" w:cs="Arial"/>
                <w:sz w:val="20"/>
                <w:szCs w:val="20"/>
              </w:rPr>
              <w:t>Інтернет-кліринг</w:t>
            </w:r>
            <w:r w:rsidR="00954E2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9E36A4" w:rsidRPr="00F8577F" w14:paraId="19F60924" w14:textId="77777777" w:rsidTr="007E25EF">
        <w:trPr>
          <w:trHeight w:val="412"/>
        </w:trPr>
        <w:tc>
          <w:tcPr>
            <w:tcW w:w="709" w:type="dxa"/>
          </w:tcPr>
          <w:p w14:paraId="5F32E434" w14:textId="77777777" w:rsidR="009E36A4" w:rsidRPr="00F8577F" w:rsidRDefault="009E36A4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3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14:paraId="3E698BD6" w14:textId="77777777" w:rsidR="009E36A4" w:rsidRPr="00F8577F" w:rsidRDefault="00E81358" w:rsidP="0001747B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Обслуговування клірингового рахунку (включаючи субрахунки такого рахунку) після закінчення операційного дня</w:t>
            </w:r>
          </w:p>
        </w:tc>
        <w:tc>
          <w:tcPr>
            <w:tcW w:w="5245" w:type="dxa"/>
            <w:vAlign w:val="center"/>
          </w:tcPr>
          <w:p w14:paraId="72266EA0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600,00 грн. за обслуговування до 18:00</w:t>
            </w:r>
          </w:p>
          <w:p w14:paraId="476EE0D1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1200,00 грн. за обслуговування до 19:00</w:t>
            </w:r>
          </w:p>
          <w:p w14:paraId="03B392F6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1800,00 грн. за обслуговування до 19:30</w:t>
            </w:r>
          </w:p>
          <w:p w14:paraId="1B19A376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2400,00 грн. за обслуговування до 20:00</w:t>
            </w:r>
          </w:p>
          <w:p w14:paraId="41A0B345" w14:textId="77777777" w:rsidR="00E81358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lastRenderedPageBreak/>
              <w:t>та 1200,00 грн. за обслуговування протягом кожних наступних 30 хв. після 20:00</w:t>
            </w:r>
          </w:p>
          <w:p w14:paraId="4D0A29E5" w14:textId="77777777" w:rsidR="009E36A4" w:rsidRPr="00F8577F" w:rsidRDefault="00E8135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Сплачується додатково до тарифу №2</w:t>
            </w:r>
          </w:p>
        </w:tc>
      </w:tr>
      <w:tr w:rsidR="009E36A4" w:rsidRPr="00F8577F" w14:paraId="35DD3748" w14:textId="77777777" w:rsidTr="007E25EF">
        <w:tc>
          <w:tcPr>
            <w:tcW w:w="709" w:type="dxa"/>
          </w:tcPr>
          <w:p w14:paraId="0EC9607B" w14:textId="77777777" w:rsidR="009E36A4" w:rsidRPr="00F8577F" w:rsidRDefault="009E36A4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5E86FD36" w14:textId="77777777" w:rsidR="009E36A4" w:rsidRPr="00F8577F" w:rsidRDefault="00E81358" w:rsidP="0001747B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Блокування клірингових активів на клірингових рахунках / субрахунках для торгів на організованому ринку капіталу після 17:20</w:t>
            </w:r>
          </w:p>
        </w:tc>
        <w:tc>
          <w:tcPr>
            <w:tcW w:w="5245" w:type="dxa"/>
            <w:vAlign w:val="center"/>
          </w:tcPr>
          <w:p w14:paraId="7BACF919" w14:textId="77777777" w:rsidR="0001747B" w:rsidRPr="00F8577F" w:rsidRDefault="00E81358" w:rsidP="00850DD6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 xml:space="preserve">100,00 грн. за операцію по кліринговому рахунку/субрахунку </w:t>
            </w:r>
          </w:p>
        </w:tc>
      </w:tr>
      <w:tr w:rsidR="009E36A4" w:rsidRPr="00F8577F" w14:paraId="40EAB8E5" w14:textId="77777777" w:rsidTr="0032064A">
        <w:trPr>
          <w:trHeight w:val="379"/>
        </w:trPr>
        <w:tc>
          <w:tcPr>
            <w:tcW w:w="709" w:type="dxa"/>
          </w:tcPr>
          <w:p w14:paraId="029EA119" w14:textId="77777777" w:rsidR="009E36A4" w:rsidRPr="00F8577F" w:rsidRDefault="009E36A4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5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A96EAB1" w14:textId="77777777" w:rsidR="009E36A4" w:rsidRPr="00F8577F" w:rsidRDefault="00545A1F" w:rsidP="00A017FB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Списання клірингових активів щодо коштів з клірингового рахунку</w:t>
            </w:r>
            <w:r w:rsidR="00A017FB" w:rsidRPr="00F8577F">
              <w:rPr>
                <w:rFonts w:ascii="Arial" w:hAnsi="Arial" w:cs="Arial"/>
                <w:sz w:val="20"/>
                <w:szCs w:val="20"/>
              </w:rPr>
              <w:t>/субрахунку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з переказом відповідної суми коштів на поточний або кореспондентський рахунок учасника клірингу</w:t>
            </w:r>
            <w:r w:rsidR="00A017FB" w:rsidRPr="00F8577F">
              <w:rPr>
                <w:rFonts w:ascii="Arial" w:hAnsi="Arial" w:cs="Arial"/>
                <w:sz w:val="20"/>
                <w:szCs w:val="20"/>
              </w:rPr>
              <w:t>/клієнта учасника клірингу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за розпорядженням учасника клірингу</w:t>
            </w:r>
          </w:p>
        </w:tc>
        <w:tc>
          <w:tcPr>
            <w:tcW w:w="5245" w:type="dxa"/>
            <w:vAlign w:val="center"/>
          </w:tcPr>
          <w:p w14:paraId="2AB63B08" w14:textId="77777777" w:rsidR="00545A1F" w:rsidRPr="00F8577F" w:rsidRDefault="00545A1F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3,00 грн. за операцію на підставі розпорядження, що надане засобами системи «Інтернет-кліринг»</w:t>
            </w:r>
          </w:p>
          <w:p w14:paraId="2C036B43" w14:textId="77777777" w:rsidR="00545A1F" w:rsidRPr="00F8577F" w:rsidRDefault="00545A1F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24,00 грн. за операцію на підставі розпорядження, що надане у паперовій формі</w:t>
            </w:r>
          </w:p>
          <w:p w14:paraId="1A36BC83" w14:textId="77777777" w:rsidR="009E36A4" w:rsidRPr="00F8577F" w:rsidRDefault="00545A1F" w:rsidP="00850DD6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Додатково сплачується компенсація вартості послуг Національного банку України з обробки розр</w:t>
            </w:r>
            <w:r w:rsidR="00B8104C" w:rsidRPr="00F8577F">
              <w:rPr>
                <w:rFonts w:ascii="Arial" w:hAnsi="Arial" w:cs="Arial"/>
                <w:sz w:val="20"/>
                <w:szCs w:val="20"/>
              </w:rPr>
              <w:t>ахункових документів  в СЕП НБУ</w:t>
            </w:r>
            <w:r w:rsidR="00C23896">
              <w:t xml:space="preserve"> </w:t>
            </w:r>
            <w:r w:rsidR="00C23896" w:rsidRPr="00582898">
              <w:rPr>
                <w:rFonts w:ascii="Arial" w:hAnsi="Arial" w:cs="Arial"/>
                <w:sz w:val="20"/>
                <w:szCs w:val="20"/>
              </w:rPr>
              <w:t>або</w:t>
            </w:r>
            <w:r w:rsidR="00C23896" w:rsidRPr="005B3F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23896" w:rsidRPr="00582898">
              <w:rPr>
                <w:rFonts w:ascii="Arial" w:hAnsi="Arial" w:cs="Arial"/>
                <w:sz w:val="20"/>
                <w:szCs w:val="20"/>
              </w:rPr>
              <w:t>іншого банку, з рахунку у якому здійснюється переказ</w:t>
            </w:r>
            <w:r w:rsidR="00321620">
              <w:rPr>
                <w:rFonts w:ascii="Arial" w:hAnsi="Arial" w:cs="Arial"/>
                <w:sz w:val="20"/>
                <w:szCs w:val="20"/>
              </w:rPr>
              <w:t>,</w:t>
            </w:r>
            <w:r w:rsidR="00582898">
              <w:rPr>
                <w:rFonts w:ascii="Arial" w:hAnsi="Arial" w:cs="Arial"/>
                <w:sz w:val="20"/>
                <w:szCs w:val="20"/>
              </w:rPr>
              <w:t xml:space="preserve"> та 2% від суми нарахованої компенсації</w:t>
            </w:r>
          </w:p>
        </w:tc>
      </w:tr>
      <w:tr w:rsidR="009E36A4" w:rsidRPr="00F8577F" w14:paraId="46A8BC52" w14:textId="77777777" w:rsidTr="007E25EF">
        <w:tc>
          <w:tcPr>
            <w:tcW w:w="709" w:type="dxa"/>
          </w:tcPr>
          <w:p w14:paraId="07C3F1BA" w14:textId="77777777" w:rsidR="009E36A4" w:rsidRPr="00F8577F" w:rsidRDefault="00963A7D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6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031D1975" w14:textId="77777777" w:rsidR="009E36A4" w:rsidRPr="00F8577F" w:rsidRDefault="005C56B8" w:rsidP="00A017FB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Переказ клірингових активів щодо коштів з клірингового рахунку</w:t>
            </w:r>
            <w:r w:rsidR="00A017FB" w:rsidRPr="00F8577F">
              <w:rPr>
                <w:rFonts w:ascii="Arial" w:hAnsi="Arial" w:cs="Arial"/>
                <w:sz w:val="20"/>
                <w:szCs w:val="20"/>
              </w:rPr>
              <w:t>/субрахунку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="00A017FB" w:rsidRPr="00F8577F">
              <w:rPr>
                <w:rFonts w:ascii="Arial" w:hAnsi="Arial" w:cs="Arial"/>
                <w:sz w:val="20"/>
                <w:szCs w:val="20"/>
              </w:rPr>
              <w:t xml:space="preserve">інший </w:t>
            </w:r>
            <w:r w:rsidRPr="00F8577F">
              <w:rPr>
                <w:rFonts w:ascii="Arial" w:hAnsi="Arial" w:cs="Arial"/>
                <w:sz w:val="20"/>
                <w:szCs w:val="20"/>
              </w:rPr>
              <w:t>кліринговий рахунок / субрахунок учасника клірингу</w:t>
            </w:r>
            <w:r w:rsidR="00A017FB" w:rsidRPr="00F8577F">
              <w:rPr>
                <w:rFonts w:ascii="Arial" w:hAnsi="Arial" w:cs="Arial"/>
                <w:sz w:val="20"/>
                <w:szCs w:val="20"/>
              </w:rPr>
              <w:t xml:space="preserve"> (окрім розподільчих клірингових субрахунків)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за розпорядженням учасника клірингу</w:t>
            </w:r>
          </w:p>
        </w:tc>
        <w:tc>
          <w:tcPr>
            <w:tcW w:w="5245" w:type="dxa"/>
          </w:tcPr>
          <w:p w14:paraId="0E66496A" w14:textId="77777777" w:rsidR="005C56B8" w:rsidRPr="00F8577F" w:rsidRDefault="005C56B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1,00 грн за операцію на підставі розпорядження, що надане засобами системи «Інтернет-кліринг»</w:t>
            </w:r>
          </w:p>
          <w:p w14:paraId="051B2BEC" w14:textId="77777777" w:rsidR="005C56B8" w:rsidRPr="00F8577F" w:rsidRDefault="005C56B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7E70C0FE" w14:textId="77777777" w:rsidR="0001747B" w:rsidRPr="00F8577F" w:rsidRDefault="005C56B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24,00 грн. за операцію на підставі розпорядження, що надане у паперовій формі</w:t>
            </w:r>
          </w:p>
        </w:tc>
      </w:tr>
      <w:tr w:rsidR="009E36A4" w:rsidRPr="00F8577F" w14:paraId="6D598A50" w14:textId="77777777" w:rsidTr="007E25EF">
        <w:trPr>
          <w:trHeight w:val="984"/>
        </w:trPr>
        <w:tc>
          <w:tcPr>
            <w:tcW w:w="709" w:type="dxa"/>
          </w:tcPr>
          <w:p w14:paraId="524D6CEE" w14:textId="77777777" w:rsidR="009E36A4" w:rsidRPr="00F8577F" w:rsidRDefault="00963A7D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7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F58C9D0" w14:textId="77777777" w:rsidR="009E36A4" w:rsidRPr="00F8577F" w:rsidRDefault="005C56B8" w:rsidP="00D51973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Переказ клірингових активів щодо коштів з  клірингових рахунків / субрахунків учасника клірингу на розподільчий субрахунок клірингового рахунку за розпорядженням учасника клірингу</w:t>
            </w:r>
          </w:p>
        </w:tc>
        <w:tc>
          <w:tcPr>
            <w:tcW w:w="5245" w:type="dxa"/>
          </w:tcPr>
          <w:p w14:paraId="0C432B39" w14:textId="77777777" w:rsidR="005C56B8" w:rsidRPr="00F8577F" w:rsidRDefault="005C56B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Вважається таким, що включено до вартості обслуговування клірингового рахунку, якщо операція здійснюється на підставі розпорядження, що надане засобами системи «Інтернет-кліринг»</w:t>
            </w:r>
          </w:p>
          <w:p w14:paraId="07DDEA86" w14:textId="77777777" w:rsidR="005C56B8" w:rsidRPr="00F8577F" w:rsidRDefault="005C56B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677ACEB9" w14:textId="77777777" w:rsidR="009E36A4" w:rsidRPr="00F8577F" w:rsidRDefault="005C56B8" w:rsidP="00850DD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24,00 грн. за операцію на підставі розпорядження, що надане у паперовій формі</w:t>
            </w:r>
          </w:p>
        </w:tc>
      </w:tr>
      <w:tr w:rsidR="00C15E4E" w:rsidRPr="00F8577F" w14:paraId="0299411D" w14:textId="77777777" w:rsidTr="007E25EF">
        <w:tc>
          <w:tcPr>
            <w:tcW w:w="709" w:type="dxa"/>
          </w:tcPr>
          <w:p w14:paraId="1F1C099D" w14:textId="77777777" w:rsidR="00C15E4E" w:rsidRPr="00F8577F" w:rsidRDefault="00C15E4E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8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1A98AE7" w14:textId="77777777" w:rsidR="0023470A" w:rsidRPr="00F8577F" w:rsidRDefault="009937DC" w:rsidP="00ED4BF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Надання виписки з системи клірингового обліку про стан клірингового рахунку / субрахунку або про операції на кліринговому рахунку / субрахунку за запитом учасника клірингу</w:t>
            </w:r>
          </w:p>
        </w:tc>
        <w:tc>
          <w:tcPr>
            <w:tcW w:w="5245" w:type="dxa"/>
          </w:tcPr>
          <w:p w14:paraId="3042829B" w14:textId="77777777" w:rsidR="00C15E4E" w:rsidRPr="00F8577F" w:rsidRDefault="009937DC" w:rsidP="00DD2055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100,00 грн. за виписку та додатково 12,00 грн. за кожний аркуш виписки у випадку надання виписки у паперовій формі</w:t>
            </w:r>
          </w:p>
        </w:tc>
      </w:tr>
      <w:tr w:rsidR="00575DFD" w:rsidRPr="00F8577F" w14:paraId="2A721D55" w14:textId="77777777" w:rsidTr="007E25EF">
        <w:tc>
          <w:tcPr>
            <w:tcW w:w="709" w:type="dxa"/>
          </w:tcPr>
          <w:p w14:paraId="4C63AFFB" w14:textId="77777777" w:rsidR="00575DFD" w:rsidRPr="00F8577F" w:rsidRDefault="00575DFD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9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762FDBD" w14:textId="714E782D" w:rsidR="00575DFD" w:rsidRPr="00F8577F" w:rsidRDefault="009937DC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Здійснення операцій списання / зарахування клірингових активів за кліринговими рахунками / субрахунками для забезпечення розрахунків за правочинами (за результатами опрацювання правочинів, вчинени</w:t>
            </w:r>
            <w:r w:rsidR="00574E2E">
              <w:rPr>
                <w:rFonts w:ascii="Arial" w:hAnsi="Arial" w:cs="Arial"/>
                <w:sz w:val="20"/>
                <w:szCs w:val="20"/>
              </w:rPr>
              <w:t>х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на організованому ринку капіталу та поза ним, як із застосуванням процедур </w:t>
            </w:r>
            <w:proofErr w:type="spellStart"/>
            <w:r w:rsidRPr="00F8577F">
              <w:rPr>
                <w:rFonts w:ascii="Arial" w:hAnsi="Arial" w:cs="Arial"/>
                <w:sz w:val="20"/>
                <w:szCs w:val="20"/>
              </w:rPr>
              <w:t>неттінгу</w:t>
            </w:r>
            <w:proofErr w:type="spellEnd"/>
            <w:r w:rsidRPr="00F8577F">
              <w:rPr>
                <w:rFonts w:ascii="Arial" w:hAnsi="Arial" w:cs="Arial"/>
                <w:sz w:val="20"/>
                <w:szCs w:val="20"/>
              </w:rPr>
              <w:t xml:space="preserve"> (тарифікується </w:t>
            </w:r>
            <w:proofErr w:type="spellStart"/>
            <w:r w:rsidRPr="00F8577F">
              <w:rPr>
                <w:rFonts w:ascii="Arial" w:hAnsi="Arial" w:cs="Arial"/>
                <w:sz w:val="20"/>
                <w:szCs w:val="20"/>
              </w:rPr>
              <w:t>нетто</w:t>
            </w:r>
            <w:proofErr w:type="spellEnd"/>
            <w:r w:rsidRPr="00F8577F">
              <w:rPr>
                <w:rFonts w:ascii="Arial" w:hAnsi="Arial" w:cs="Arial"/>
                <w:sz w:val="20"/>
                <w:szCs w:val="20"/>
              </w:rPr>
              <w:t>-операція), так і за одиночними розрахунками)</w:t>
            </w:r>
          </w:p>
        </w:tc>
        <w:tc>
          <w:tcPr>
            <w:tcW w:w="5245" w:type="dxa"/>
          </w:tcPr>
          <w:p w14:paraId="1BAD0611" w14:textId="77777777" w:rsidR="009937DC" w:rsidRPr="00F8577F" w:rsidRDefault="009937DC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300,00 грн. за одну операцію.</w:t>
            </w:r>
          </w:p>
          <w:p w14:paraId="57CE7BD0" w14:textId="6A655978" w:rsidR="009937DC" w:rsidRPr="00F8577F" w:rsidRDefault="009937DC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 тарифом оплачується не більше ніж 50 операцій протягом календарного місяця. У випадку виконання на кліринговому рахунку та субрахунках такого рахунку протягом календарного місяця більше ніж 50 операцій, вартість наступних операцій вважається такою, що включена до вартості обслуговування клірингового рахунку згідно з пунктом </w:t>
            </w:r>
            <w:r w:rsidR="00F053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  <w:r w:rsidR="00F05324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цих Тарифів.</w:t>
            </w:r>
          </w:p>
          <w:p w14:paraId="2770B8E6" w14:textId="4D264C00" w:rsidR="00575DFD" w:rsidRPr="00F8577F" w:rsidRDefault="009937DC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Вартість послуг зі здійснення операцій для забезпечення розрахунків за </w:t>
            </w:r>
            <w:proofErr w:type="spellStart"/>
            <w:r w:rsidR="00B17A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деривативними</w:t>
            </w:r>
            <w:proofErr w:type="spellEnd"/>
            <w:r w:rsidR="00B17A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контрактами та 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правочинами</w:t>
            </w:r>
            <w:r w:rsidR="00B17A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щодо цінних паперів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B17A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кліринг зобов’язань за якими оплачується згідно пунктів 11, 12 та 13 цих Тарифів,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вважається такою, що включена до вартості обслуговування клірингового рахунку згідно з пунктом 2 цих Тарифів</w:t>
            </w:r>
          </w:p>
        </w:tc>
      </w:tr>
      <w:tr w:rsidR="00575DFD" w:rsidRPr="00F8577F" w14:paraId="3BB22D5C" w14:textId="77777777" w:rsidTr="007E25EF">
        <w:tc>
          <w:tcPr>
            <w:tcW w:w="709" w:type="dxa"/>
          </w:tcPr>
          <w:p w14:paraId="76DC0E2F" w14:textId="77777777" w:rsidR="00575DFD" w:rsidRPr="00F8577F" w:rsidRDefault="00575DFD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10</w:t>
            </w:r>
            <w:r w:rsidR="00774CB6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31905C6" w14:textId="77777777" w:rsidR="00575DFD" w:rsidRPr="00F8577F" w:rsidRDefault="00E62B7E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 xml:space="preserve">Кліринг </w:t>
            </w:r>
            <w:proofErr w:type="spellStart"/>
            <w:r w:rsidRPr="00F8577F">
              <w:rPr>
                <w:rFonts w:ascii="Arial" w:hAnsi="Arial" w:cs="Arial"/>
                <w:sz w:val="20"/>
                <w:szCs w:val="20"/>
              </w:rPr>
              <w:t>зобовʼязань</w:t>
            </w:r>
            <w:proofErr w:type="spellEnd"/>
            <w:r w:rsidRPr="00F8577F">
              <w:rPr>
                <w:rFonts w:ascii="Arial" w:hAnsi="Arial" w:cs="Arial"/>
                <w:sz w:val="20"/>
                <w:szCs w:val="20"/>
              </w:rPr>
              <w:t xml:space="preserve"> за правочинами щодо цінних паперів, вчиненими на організованому ринку капіталу, які забезпечені правами на отримання коштів / цінних паперів на підставі відповідних зустрічних зобов’язань</w:t>
            </w:r>
          </w:p>
        </w:tc>
        <w:tc>
          <w:tcPr>
            <w:tcW w:w="5245" w:type="dxa"/>
          </w:tcPr>
          <w:p w14:paraId="21FF81EE" w14:textId="77777777" w:rsidR="00E62B7E" w:rsidRPr="00F8577F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Вартість операції визначається у відсотках від загальної суми зобов’язань за правочинами щодо цінних паперів, які забезпечені правами на отримання коштів / цінних паперів на підставі відповідних зустрічних зобов’язань, за кожним кліринговим рахунком / субрахунком учасника клірингу.</w:t>
            </w:r>
          </w:p>
          <w:p w14:paraId="62284AD2" w14:textId="77777777" w:rsidR="00E62B7E" w:rsidRPr="00F8577F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Розмір відсотка, який використовується при розрахунку вартості операції, залежить від загальної суми </w:t>
            </w:r>
            <w:proofErr w:type="spellStart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зобовʼязань</w:t>
            </w:r>
            <w:proofErr w:type="spellEnd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забезпечених зустрічними </w:t>
            </w:r>
            <w:proofErr w:type="spellStart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зобовʼязаннями</w:t>
            </w:r>
            <w:proofErr w:type="spellEnd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протягом поточного календарного місяця, у якому здійснюється операція та оцінюється наростаючим підсумком за відповідним кліринговим рахунком / субрахунком 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учасника клірингу станом на дату розрахунку вартості відповідних операцій:</w:t>
            </w:r>
          </w:p>
          <w:p w14:paraId="3ECB3F71" w14:textId="77777777" w:rsidR="00E62B7E" w:rsidRPr="00F8577F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500</w:t>
            </w:r>
            <w:r w:rsidR="00DC015E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,00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млн. грн. протягом календарного місяця – 0,015%;</w:t>
            </w:r>
          </w:p>
          <w:p w14:paraId="164DB423" w14:textId="77777777" w:rsidR="00E62B7E" w:rsidRPr="00F8577F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від 500</w:t>
            </w:r>
            <w:r w:rsidR="00DC015E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,00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млн. грн. до 2</w:t>
            </w:r>
            <w:r w:rsidR="009E4C74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,0</w:t>
            </w:r>
            <w:r w:rsidR="00DC015E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млрд. грн. протягом календарного місяця – 0,0115%;</w:t>
            </w:r>
          </w:p>
          <w:p w14:paraId="3E044D46" w14:textId="77777777" w:rsidR="00E62B7E" w:rsidRPr="00F8577F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від 2</w:t>
            </w:r>
            <w:r w:rsidR="009E4C74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,0</w:t>
            </w:r>
            <w:r w:rsidR="00DC015E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млрд.</w:t>
            </w:r>
            <w:r w:rsidR="009E4C74"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грн. і більше протягом календарного місяця – 0,009%.</w:t>
            </w:r>
          </w:p>
          <w:p w14:paraId="461556DD" w14:textId="77777777" w:rsidR="00575DFD" w:rsidRPr="00F8577F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Нарахування та оплата вартості операцій здійснюється щоденно. Вартість послуг з клірингу </w:t>
            </w:r>
            <w:proofErr w:type="spellStart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зобовʼязань</w:t>
            </w:r>
            <w:proofErr w:type="spellEnd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які забезпечені правами на отримання коштів / цінних паперів на підставі відповідних зустрічних </w:t>
            </w:r>
            <w:proofErr w:type="spellStart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зобовʼязань</w:t>
            </w:r>
            <w:proofErr w:type="spellEnd"/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за правочинами, укладеними в режимі «РЕПО з контролем ризиків» вважається такою, що включена до вартості послуг, що сплачуються згідно з пунктом 11 цих Тарифів.</w:t>
            </w:r>
          </w:p>
        </w:tc>
      </w:tr>
      <w:tr w:rsidR="00E62B7E" w:rsidRPr="00F8577F" w14:paraId="0C3DFA87" w14:textId="77777777" w:rsidTr="007E25EF">
        <w:tc>
          <w:tcPr>
            <w:tcW w:w="709" w:type="dxa"/>
          </w:tcPr>
          <w:p w14:paraId="3D82EA6E" w14:textId="77777777" w:rsidR="00E62B7E" w:rsidRPr="00F8577F" w:rsidRDefault="00E62B7E" w:rsidP="00774CB6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961" w:type="dxa"/>
          </w:tcPr>
          <w:p w14:paraId="626846CA" w14:textId="77777777" w:rsidR="004069B1" w:rsidRPr="00FA4D46" w:rsidRDefault="004069B1" w:rsidP="00BF37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F37F7">
              <w:rPr>
                <w:rFonts w:ascii="Arial" w:hAnsi="Arial" w:cs="Arial"/>
                <w:sz w:val="20"/>
                <w:szCs w:val="20"/>
              </w:rPr>
              <w:t>Кліринг</w:t>
            </w: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зобовʼязань</w:t>
            </w:r>
            <w:proofErr w:type="spellEnd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 договорами РЕПО, укладеними на організованому ринку капіталу, в режимі «РЕПО з контролем ризиків»</w:t>
            </w:r>
          </w:p>
        </w:tc>
        <w:tc>
          <w:tcPr>
            <w:tcW w:w="5245" w:type="dxa"/>
          </w:tcPr>
          <w:p w14:paraId="5570A280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Тариф розраховується за кожний календарний день місяця від загальної відкритої позиції учасника клірингу на ринку «РЕПО з контролем ризиків», яка включає суму перших частин:</w:t>
            </w:r>
          </w:p>
          <w:p w14:paraId="5D16F0A6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договорів РЕПО, зобов’язання за якими не були припинені станом на початок відповідного дня;</w:t>
            </w:r>
          </w:p>
          <w:p w14:paraId="541AFC93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договорів РЕПО, зобов’язання за обома частинами яких були припинені в день, за який здійснюється розрахунок;</w:t>
            </w:r>
          </w:p>
          <w:p w14:paraId="2A587F4D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договорів РЕПО, зобов’язання за першою частиною яких були припинені в день, за який здійснюється розрахунок шляхом примусового припинення зобов’язань;</w:t>
            </w:r>
          </w:p>
          <w:p w14:paraId="20187608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574C834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Тариф становить:</w:t>
            </w:r>
          </w:p>
          <w:p w14:paraId="4C314EAD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0,2% річних від загальної відкритої позиції в розмірі до 1,50 млрд. грн. включно</w:t>
            </w:r>
          </w:p>
          <w:p w14:paraId="1AA4303F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</w:t>
            </w:r>
          </w:p>
          <w:p w14:paraId="27DB9BDB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0,02% річних від частини загальної відкритої позиції в розмірі, що перевищує 1,50 млрд. грн. до 2,50 млрд. грн. включно</w:t>
            </w:r>
          </w:p>
          <w:p w14:paraId="2EF6F887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</w:t>
            </w:r>
          </w:p>
          <w:p w14:paraId="53A90FF5" w14:textId="77777777" w:rsidR="004069B1" w:rsidRPr="00FA4D46" w:rsidRDefault="004069B1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0,01% річних від частини загальної відкритої позиції в розмірі, що перевищує 2,50 млрд. грн.</w:t>
            </w:r>
          </w:p>
          <w:p w14:paraId="17D61DB2" w14:textId="77777777" w:rsidR="00E62B7E" w:rsidRPr="00F8577F" w:rsidRDefault="00E62B7E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D3807" w:rsidRPr="00F8577F" w14:paraId="0EC565D8" w14:textId="77777777" w:rsidTr="007E25EF">
        <w:tc>
          <w:tcPr>
            <w:tcW w:w="709" w:type="dxa"/>
          </w:tcPr>
          <w:p w14:paraId="40C0BDBF" w14:textId="77777777" w:rsidR="00CD3807" w:rsidRPr="00F8577F" w:rsidRDefault="00CD3807" w:rsidP="00774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4961" w:type="dxa"/>
          </w:tcPr>
          <w:p w14:paraId="3D3C24C6" w14:textId="77777777" w:rsidR="00CD3807" w:rsidRPr="00FA4D46" w:rsidRDefault="00CD3807" w:rsidP="00BF37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Кліринг </w:t>
            </w:r>
            <w:proofErr w:type="spellStart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зобовʼязань</w:t>
            </w:r>
            <w:proofErr w:type="spellEnd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деривативними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контрактами</w:t>
            </w: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Pr="00BF37F7">
              <w:rPr>
                <w:rFonts w:ascii="Arial" w:hAnsi="Arial" w:cs="Arial"/>
                <w:sz w:val="20"/>
                <w:szCs w:val="20"/>
              </w:rPr>
              <w:t>укладеними</w:t>
            </w: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організованому ринку капіталу</w:t>
            </w:r>
          </w:p>
        </w:tc>
        <w:tc>
          <w:tcPr>
            <w:tcW w:w="5245" w:type="dxa"/>
          </w:tcPr>
          <w:p w14:paraId="475B9858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Тариф розраховується за кожний календарний день місяця від загальної відкритої позиції учасника клірингу </w:t>
            </w:r>
            <w:r w:rsidRPr="005D19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 укладеними </w:t>
            </w:r>
            <w:proofErr w:type="spellStart"/>
            <w:r w:rsidRPr="005D19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деривативними</w:t>
            </w:r>
            <w:proofErr w:type="spellEnd"/>
            <w:r w:rsidRPr="005D19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контрактами</w:t>
            </w: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яка включає суму перших частин:</w:t>
            </w:r>
          </w:p>
          <w:p w14:paraId="1FF04EB3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свопів</w:t>
            </w:r>
            <w:proofErr w:type="spellEnd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зобов’язання за якими не були припинені станом на початок відповідного дня;</w:t>
            </w:r>
          </w:p>
          <w:p w14:paraId="6107DDA0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свопів</w:t>
            </w:r>
            <w:proofErr w:type="spellEnd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зобов’язання за обома частинами яких були припинені в день, за який здійснюється розрахунок;</w:t>
            </w:r>
          </w:p>
          <w:p w14:paraId="05CE3099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свопів</w:t>
            </w:r>
            <w:proofErr w:type="spellEnd"/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зобов’язання за першою частиною яких були припинені в день, за який здійснюється розрахунок шляхом примусового припинення зобов’язань;</w:t>
            </w:r>
          </w:p>
          <w:p w14:paraId="522B1F85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B650529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Тариф становить:</w:t>
            </w:r>
          </w:p>
          <w:p w14:paraId="4D83D98C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0,2% річних від загальної відкритої позиції в розмірі до 1,50 млрд. грн. включно</w:t>
            </w:r>
          </w:p>
          <w:p w14:paraId="563DC007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</w:t>
            </w:r>
          </w:p>
          <w:p w14:paraId="19FCA32A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0,02% річних від частини загальної відкритої позиції в розмірі, що перевищує 1,50 млрд. грн. до 2,50 млрд. грн. включно</w:t>
            </w:r>
          </w:p>
          <w:p w14:paraId="0C0C34D7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</w:t>
            </w:r>
          </w:p>
          <w:p w14:paraId="4B53C085" w14:textId="77777777" w:rsidR="00CD3807" w:rsidRPr="00FA4D46" w:rsidRDefault="00CD3807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4D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0,01% річних від частини загальної відкритої позиції в розмірі, що перевищує 2,50 млрд. грн.</w:t>
            </w:r>
          </w:p>
          <w:p w14:paraId="670D92CB" w14:textId="77777777" w:rsidR="00CD3807" w:rsidRPr="00FA4D46" w:rsidRDefault="00CD3807" w:rsidP="00FA4D46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17ADF" w:rsidRPr="00F8577F" w14:paraId="36E9752B" w14:textId="77777777" w:rsidTr="007E25EF">
        <w:tc>
          <w:tcPr>
            <w:tcW w:w="709" w:type="dxa"/>
          </w:tcPr>
          <w:p w14:paraId="3332A97C" w14:textId="48C0BF89" w:rsidR="00B17ADF" w:rsidRDefault="00B17ADF" w:rsidP="00774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3546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399CB5C4" w14:textId="055A65D0" w:rsidR="00B17ADF" w:rsidRPr="00FA4D46" w:rsidRDefault="00B17ADF" w:rsidP="00BF37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Кліринг зобов’язань за правочинами</w:t>
            </w:r>
            <w:r w:rsidR="003546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щодо цінних паперів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укладеними поза організованим ринком капіталу, стороною яких є Розрахунковий центр як центральний контрагент</w:t>
            </w:r>
          </w:p>
        </w:tc>
        <w:tc>
          <w:tcPr>
            <w:tcW w:w="5245" w:type="dxa"/>
          </w:tcPr>
          <w:p w14:paraId="00392966" w14:textId="759277B3" w:rsidR="00B17ADF" w:rsidRDefault="00B17ADF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0,01% від суми кожного правочину</w:t>
            </w:r>
            <w:r w:rsidR="003546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щодо цінних паперів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укладеного учасником клірингу з центральним контрагентом, але не менше 1,00 грн та не більше 25,00 грн за правочин</w:t>
            </w:r>
          </w:p>
          <w:p w14:paraId="4BF5FCA0" w14:textId="60F62697" w:rsidR="00B17ADF" w:rsidRPr="00FA4D46" w:rsidRDefault="00B17ADF" w:rsidP="00CD3807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62B7E" w:rsidRPr="00F8577F" w14:paraId="10C97EC1" w14:textId="77777777" w:rsidTr="007E25EF">
        <w:tc>
          <w:tcPr>
            <w:tcW w:w="709" w:type="dxa"/>
          </w:tcPr>
          <w:p w14:paraId="45E0B8C1" w14:textId="513E7C0F" w:rsidR="00E62B7E" w:rsidRPr="00C8056A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62B7E" w:rsidRPr="00C80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591CA12C" w14:textId="77777777" w:rsidR="00E62B7E" w:rsidRPr="00C8056A" w:rsidRDefault="00990BB9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C8056A">
              <w:rPr>
                <w:rFonts w:ascii="Arial" w:hAnsi="Arial" w:cs="Arial"/>
                <w:sz w:val="20"/>
                <w:szCs w:val="20"/>
              </w:rPr>
              <w:t xml:space="preserve">Реєстрація </w:t>
            </w:r>
            <w:proofErr w:type="spellStart"/>
            <w:r w:rsidRPr="00C8056A">
              <w:rPr>
                <w:rFonts w:ascii="Arial" w:hAnsi="Arial" w:cs="Arial"/>
                <w:sz w:val="20"/>
                <w:szCs w:val="20"/>
              </w:rPr>
              <w:t>вигодоодержувача</w:t>
            </w:r>
            <w:proofErr w:type="spellEnd"/>
            <w:r w:rsidRPr="00C8056A">
              <w:rPr>
                <w:rFonts w:ascii="Arial" w:hAnsi="Arial" w:cs="Arial"/>
                <w:sz w:val="20"/>
                <w:szCs w:val="20"/>
              </w:rPr>
              <w:t xml:space="preserve"> за кліринговим субрахунком колективного обліку</w:t>
            </w:r>
            <w:r w:rsidR="00AF09B8" w:rsidRPr="00C80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3A6005C1" w14:textId="77777777" w:rsidR="00E62B7E" w:rsidRPr="00C8056A" w:rsidRDefault="00E62B7E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25EF" w:rsidRPr="00F8577F" w14:paraId="27A97A1E" w14:textId="77777777" w:rsidTr="007E25EF">
        <w:tc>
          <w:tcPr>
            <w:tcW w:w="709" w:type="dxa"/>
          </w:tcPr>
          <w:p w14:paraId="1D106A16" w14:textId="652A200B" w:rsidR="007E25EF" w:rsidRPr="00C8056A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E25EF" w:rsidRPr="00C8056A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4961" w:type="dxa"/>
          </w:tcPr>
          <w:p w14:paraId="19C29BC5" w14:textId="77777777" w:rsidR="007E25EF" w:rsidRDefault="009077B6" w:rsidP="00017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056A">
              <w:rPr>
                <w:rFonts w:ascii="Arial" w:hAnsi="Arial" w:cs="Arial"/>
                <w:sz w:val="20"/>
                <w:szCs w:val="20"/>
              </w:rPr>
              <w:t xml:space="preserve">Реєстрація </w:t>
            </w:r>
            <w:proofErr w:type="spellStart"/>
            <w:r w:rsidRPr="00C8056A">
              <w:rPr>
                <w:rFonts w:ascii="Arial" w:hAnsi="Arial" w:cs="Arial"/>
                <w:sz w:val="20"/>
                <w:szCs w:val="20"/>
              </w:rPr>
              <w:t>вигодоодержувача</w:t>
            </w:r>
            <w:proofErr w:type="spellEnd"/>
            <w:r w:rsidRPr="00C8056A">
              <w:rPr>
                <w:rFonts w:ascii="Arial" w:hAnsi="Arial" w:cs="Arial"/>
                <w:sz w:val="20"/>
                <w:szCs w:val="20"/>
              </w:rPr>
              <w:t xml:space="preserve"> за кліринговим субрахунком колективного обліку </w:t>
            </w:r>
            <w:r w:rsidRPr="00C8056A">
              <w:rPr>
                <w:rFonts w:ascii="Arial" w:hAnsi="Arial" w:cs="Arial"/>
                <w:b/>
                <w:sz w:val="20"/>
                <w:szCs w:val="20"/>
              </w:rPr>
              <w:t>(окрім реєстрації в автоматичному режимі)</w:t>
            </w:r>
            <w:r w:rsidR="00017053" w:rsidRPr="00C8056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9DE9CDF" w14:textId="77777777" w:rsidR="00DF10AB" w:rsidRPr="00C8056A" w:rsidRDefault="00DF10AB" w:rsidP="00017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34FBB7" w14:textId="77777777" w:rsidR="007E25EF" w:rsidRPr="00C8056A" w:rsidRDefault="007E25EF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805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24,00 грн. за одну операцію з реєстрації одного </w:t>
            </w:r>
            <w:proofErr w:type="spellStart"/>
            <w:r w:rsidRPr="00C805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вигодоодержувача</w:t>
            </w:r>
            <w:proofErr w:type="spellEnd"/>
          </w:p>
        </w:tc>
      </w:tr>
      <w:tr w:rsidR="007E25EF" w:rsidRPr="00F8577F" w14:paraId="5B56EC42" w14:textId="77777777" w:rsidTr="007E25EF">
        <w:tc>
          <w:tcPr>
            <w:tcW w:w="709" w:type="dxa"/>
          </w:tcPr>
          <w:p w14:paraId="2BBE9430" w14:textId="1C1C229C" w:rsidR="007E25EF" w:rsidRPr="00C8056A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E25EF" w:rsidRPr="00C8056A">
              <w:rPr>
                <w:rFonts w:ascii="Arial" w:hAnsi="Arial" w:cs="Arial"/>
                <w:sz w:val="20"/>
                <w:szCs w:val="20"/>
              </w:rPr>
              <w:t>.2.</w:t>
            </w:r>
          </w:p>
        </w:tc>
        <w:tc>
          <w:tcPr>
            <w:tcW w:w="4961" w:type="dxa"/>
          </w:tcPr>
          <w:p w14:paraId="4947AD42" w14:textId="77777777" w:rsidR="007E25EF" w:rsidRPr="00C8056A" w:rsidRDefault="00017053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C8056A">
              <w:rPr>
                <w:rFonts w:ascii="Arial" w:hAnsi="Arial" w:cs="Arial"/>
                <w:sz w:val="20"/>
                <w:szCs w:val="20"/>
              </w:rPr>
              <w:t xml:space="preserve">Реєстрація </w:t>
            </w:r>
            <w:proofErr w:type="spellStart"/>
            <w:r w:rsidRPr="00C8056A">
              <w:rPr>
                <w:rFonts w:ascii="Arial" w:hAnsi="Arial" w:cs="Arial"/>
                <w:sz w:val="20"/>
                <w:szCs w:val="20"/>
              </w:rPr>
              <w:t>вигодоодержувача</w:t>
            </w:r>
            <w:proofErr w:type="spellEnd"/>
            <w:r w:rsidRPr="00C8056A">
              <w:rPr>
                <w:rFonts w:ascii="Arial" w:hAnsi="Arial" w:cs="Arial"/>
                <w:sz w:val="20"/>
                <w:szCs w:val="20"/>
              </w:rPr>
              <w:t xml:space="preserve"> за кліринговим субрахунком колективного обліку </w:t>
            </w:r>
            <w:r w:rsidRPr="00C8056A">
              <w:rPr>
                <w:rFonts w:ascii="Arial" w:hAnsi="Arial" w:cs="Arial"/>
                <w:b/>
                <w:sz w:val="20"/>
                <w:szCs w:val="20"/>
              </w:rPr>
              <w:t>в автоматичному режимі</w:t>
            </w:r>
            <w:r w:rsidRPr="00C8056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245" w:type="dxa"/>
          </w:tcPr>
          <w:p w14:paraId="5DCEA32D" w14:textId="77777777" w:rsidR="007E25EF" w:rsidRPr="00C8056A" w:rsidRDefault="007E25EF" w:rsidP="007E25EF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805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3,00 грн. за одну операцію з реєстрації одного </w:t>
            </w:r>
            <w:proofErr w:type="spellStart"/>
            <w:r w:rsidRPr="00C805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вигодоодержувача</w:t>
            </w:r>
            <w:proofErr w:type="spellEnd"/>
          </w:p>
        </w:tc>
      </w:tr>
      <w:tr w:rsidR="00E62B7E" w:rsidRPr="00F8577F" w14:paraId="0F0A5FBD" w14:textId="77777777" w:rsidTr="007E25EF">
        <w:tc>
          <w:tcPr>
            <w:tcW w:w="709" w:type="dxa"/>
          </w:tcPr>
          <w:p w14:paraId="30B283EF" w14:textId="7E6881A0" w:rsidR="00E62B7E" w:rsidRPr="00F8577F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62B7E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B7C2723" w14:textId="77777777" w:rsidR="00E62B7E" w:rsidRPr="00F8577F" w:rsidRDefault="00990BB9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Надання неформалізованої інформації за запитом клієнта</w:t>
            </w:r>
          </w:p>
        </w:tc>
        <w:tc>
          <w:tcPr>
            <w:tcW w:w="5245" w:type="dxa"/>
          </w:tcPr>
          <w:p w14:paraId="74F65635" w14:textId="77777777" w:rsidR="00006528" w:rsidRPr="00F8577F" w:rsidRDefault="00990BB9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600,00 грн. за одну довідку без ПДВ, 120,00 грн. ПДВ,</w:t>
            </w:r>
            <w:r w:rsidR="00006528" w:rsidRPr="00F85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6300F" w14:textId="77777777" w:rsidR="00E62B7E" w:rsidRDefault="00006528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всього разом з ПДВ 720,00 грн. за одну довідку</w:t>
            </w:r>
          </w:p>
          <w:p w14:paraId="6A7E6C37" w14:textId="77777777" w:rsidR="00DD7F59" w:rsidRPr="00F8577F" w:rsidRDefault="00DD7F59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0BB9" w:rsidRPr="00F8577F" w14:paraId="5DED3050" w14:textId="77777777" w:rsidTr="007E25EF">
        <w:tc>
          <w:tcPr>
            <w:tcW w:w="709" w:type="dxa"/>
          </w:tcPr>
          <w:p w14:paraId="1C077C67" w14:textId="0A41D7DB" w:rsidR="00990BB9" w:rsidRPr="00F8577F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990BB9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63C2B5F" w14:textId="77777777" w:rsidR="00990BB9" w:rsidRPr="00F8577F" w:rsidRDefault="00980152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Надання інформаційно-консультаційних послуг</w:t>
            </w:r>
          </w:p>
        </w:tc>
        <w:tc>
          <w:tcPr>
            <w:tcW w:w="5245" w:type="dxa"/>
          </w:tcPr>
          <w:p w14:paraId="2D58BEF1" w14:textId="77777777" w:rsidR="00990BB9" w:rsidRDefault="00980152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домовленістю, грн з ПДВ</w:t>
            </w:r>
          </w:p>
          <w:p w14:paraId="40A1FED0" w14:textId="77777777" w:rsidR="00961B7C" w:rsidRDefault="00961B7C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21B9548C" w14:textId="77777777" w:rsidR="00801AE7" w:rsidRPr="00F8577F" w:rsidRDefault="00801AE7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90BB9" w:rsidRPr="00F8577F" w14:paraId="49227BEE" w14:textId="77777777" w:rsidTr="007E25EF">
        <w:tc>
          <w:tcPr>
            <w:tcW w:w="709" w:type="dxa"/>
          </w:tcPr>
          <w:p w14:paraId="6F634267" w14:textId="1B02A26F" w:rsidR="00990BB9" w:rsidRPr="00F8577F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990BB9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DF76559" w14:textId="77777777" w:rsidR="00990BB9" w:rsidRPr="00F8577F" w:rsidRDefault="00980152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Надання інформації на запит (з дозволу) клієнта для аудиторської фірми</w:t>
            </w:r>
          </w:p>
        </w:tc>
        <w:tc>
          <w:tcPr>
            <w:tcW w:w="5245" w:type="dxa"/>
          </w:tcPr>
          <w:p w14:paraId="26F7F1F5" w14:textId="77777777" w:rsidR="00006528" w:rsidRPr="00F8577F" w:rsidRDefault="00980152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600,00 грн. за одну довідку без ПДВ, 120,00 грн. ПДВ,</w:t>
            </w:r>
            <w:r w:rsidR="00006528" w:rsidRPr="00F85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0A09B1" w14:textId="77777777" w:rsidR="00990BB9" w:rsidRPr="00F8577F" w:rsidRDefault="00006528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всього разом з ПДВ 720,00 грн. за одну довідку</w:t>
            </w:r>
          </w:p>
        </w:tc>
      </w:tr>
      <w:tr w:rsidR="00990BB9" w:rsidRPr="00F8577F" w14:paraId="5A7988CA" w14:textId="77777777" w:rsidTr="007E25EF">
        <w:tc>
          <w:tcPr>
            <w:tcW w:w="709" w:type="dxa"/>
          </w:tcPr>
          <w:p w14:paraId="4AF92EE1" w14:textId="4F1E46CD" w:rsidR="00990BB9" w:rsidRPr="00F8577F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990BB9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54884A46" w14:textId="77777777" w:rsidR="00990BB9" w:rsidRPr="00F8577F" w:rsidRDefault="00766D17" w:rsidP="00D92212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Надання довідки про кліринговий рахунок за запитом учасника клірингу у паперовій формі</w:t>
            </w:r>
          </w:p>
        </w:tc>
        <w:tc>
          <w:tcPr>
            <w:tcW w:w="5245" w:type="dxa"/>
          </w:tcPr>
          <w:p w14:paraId="0B9645C9" w14:textId="77777777" w:rsidR="001614CD" w:rsidRPr="00F8577F" w:rsidRDefault="00766D17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100,00 грн. за одну довідку без ПДВ, 20,00 грн. ПДВ,</w:t>
            </w:r>
            <w:r w:rsidR="001614CD" w:rsidRPr="00F8577F">
              <w:rPr>
                <w:rFonts w:ascii="Arial" w:hAnsi="Arial" w:cs="Arial"/>
              </w:rPr>
              <w:t xml:space="preserve"> </w:t>
            </w:r>
          </w:p>
          <w:p w14:paraId="1EFFE825" w14:textId="77777777" w:rsidR="00990BB9" w:rsidRPr="00F8577F" w:rsidRDefault="001614CD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всього разом з ПДВ 120,00 грн. за одну довідку</w:t>
            </w:r>
          </w:p>
        </w:tc>
      </w:tr>
      <w:tr w:rsidR="00990BB9" w:rsidRPr="00F8577F" w14:paraId="636909C7" w14:textId="77777777" w:rsidTr="007E25EF">
        <w:tc>
          <w:tcPr>
            <w:tcW w:w="709" w:type="dxa"/>
          </w:tcPr>
          <w:p w14:paraId="038193D0" w14:textId="578F1571" w:rsidR="00990BB9" w:rsidRPr="00F8577F" w:rsidRDefault="00354622" w:rsidP="00CD3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990BB9" w:rsidRPr="00F85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D1051A8" w14:textId="77777777" w:rsidR="00990BB9" w:rsidRPr="00F8577F" w:rsidRDefault="00B61398" w:rsidP="00C8056A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 xml:space="preserve">Надання засвідченої ПАТ </w:t>
            </w:r>
            <w:r w:rsidR="00C8056A">
              <w:rPr>
                <w:rFonts w:ascii="Arial" w:hAnsi="Arial" w:cs="Arial"/>
                <w:sz w:val="20"/>
                <w:szCs w:val="20"/>
              </w:rPr>
              <w:t>«Розрахунковий центр»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копії договору, укладеного між ПАТ </w:t>
            </w:r>
            <w:r w:rsidR="00C8056A">
              <w:rPr>
                <w:rFonts w:ascii="Arial" w:hAnsi="Arial" w:cs="Arial"/>
                <w:sz w:val="20"/>
                <w:szCs w:val="20"/>
              </w:rPr>
              <w:t>«</w:t>
            </w:r>
            <w:r w:rsidRPr="00F8577F">
              <w:rPr>
                <w:rFonts w:ascii="Arial" w:hAnsi="Arial" w:cs="Arial"/>
                <w:sz w:val="20"/>
                <w:szCs w:val="20"/>
              </w:rPr>
              <w:t>Розрахунковий центр</w:t>
            </w:r>
            <w:r w:rsidR="00C8056A">
              <w:rPr>
                <w:rFonts w:ascii="Arial" w:hAnsi="Arial" w:cs="Arial"/>
                <w:sz w:val="20"/>
                <w:szCs w:val="20"/>
              </w:rPr>
              <w:t>»</w:t>
            </w:r>
            <w:r w:rsidRPr="00F8577F">
              <w:rPr>
                <w:rFonts w:ascii="Arial" w:hAnsi="Arial" w:cs="Arial"/>
                <w:sz w:val="20"/>
                <w:szCs w:val="20"/>
              </w:rPr>
              <w:t xml:space="preserve"> і клієнтом</w:t>
            </w:r>
          </w:p>
        </w:tc>
        <w:tc>
          <w:tcPr>
            <w:tcW w:w="5245" w:type="dxa"/>
          </w:tcPr>
          <w:p w14:paraId="16194B43" w14:textId="6D9780DA" w:rsidR="00990BB9" w:rsidRPr="00F8577F" w:rsidRDefault="00B61398" w:rsidP="00DD205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120,00 грн. за виготовлення копії та 12,00 грн. за кожний аркуш документ</w:t>
            </w:r>
            <w:r w:rsidR="00DA5D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ПДВ - 24,00 грн. та 2,40 грн. відповідно, всього разом з ПДВ 144,00 грн. за виготовлення копії та 14,40 грн. за кожний аркуш документ</w:t>
            </w:r>
            <w:r w:rsidR="00DA5D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відповідно</w:t>
            </w:r>
          </w:p>
        </w:tc>
      </w:tr>
    </w:tbl>
    <w:p w14:paraId="4FA8F939" w14:textId="77777777" w:rsidR="00954DBD" w:rsidRPr="00F8577F" w:rsidRDefault="00954DBD" w:rsidP="003915F7">
      <w:pPr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206DE90F" w14:textId="77777777" w:rsidR="007C6352" w:rsidRPr="00F8577F" w:rsidRDefault="007C6352" w:rsidP="007C6352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F8577F">
        <w:rPr>
          <w:rFonts w:ascii="Arial" w:hAnsi="Arial" w:cs="Arial"/>
          <w:b/>
          <w:sz w:val="20"/>
          <w:szCs w:val="20"/>
        </w:rPr>
        <w:t>ІІ. Тарифи</w:t>
      </w:r>
      <w:r w:rsidR="00323ECD" w:rsidRPr="00F8577F">
        <w:rPr>
          <w:rFonts w:ascii="Arial" w:hAnsi="Arial" w:cs="Arial"/>
          <w:b/>
          <w:sz w:val="20"/>
          <w:szCs w:val="20"/>
        </w:rPr>
        <w:t xml:space="preserve"> </w:t>
      </w:r>
      <w:r w:rsidRPr="00F8577F">
        <w:rPr>
          <w:rFonts w:ascii="Arial" w:hAnsi="Arial" w:cs="Arial"/>
          <w:b/>
          <w:sz w:val="20"/>
          <w:szCs w:val="20"/>
        </w:rPr>
        <w:t>на послуги ПАТ «Розрахунковий центр»,</w:t>
      </w:r>
    </w:p>
    <w:p w14:paraId="3392A6C3" w14:textId="77777777" w:rsidR="007C6352" w:rsidRPr="00F8577F" w:rsidRDefault="007C6352" w:rsidP="007C6352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F8577F">
        <w:rPr>
          <w:rFonts w:ascii="Arial" w:hAnsi="Arial" w:cs="Arial"/>
          <w:b/>
          <w:sz w:val="20"/>
          <w:szCs w:val="20"/>
        </w:rPr>
        <w:t xml:space="preserve">що сплачуються </w:t>
      </w:r>
      <w:r w:rsidR="00527177" w:rsidRPr="00F8577F">
        <w:rPr>
          <w:rFonts w:ascii="Arial" w:hAnsi="Arial" w:cs="Arial"/>
          <w:b/>
          <w:sz w:val="20"/>
          <w:szCs w:val="20"/>
        </w:rPr>
        <w:t>операторами організованих ринків капіталу</w:t>
      </w:r>
    </w:p>
    <w:p w14:paraId="1C14572A" w14:textId="77777777" w:rsidR="007C6352" w:rsidRPr="00F8577F" w:rsidRDefault="007C6352" w:rsidP="007C6352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5245"/>
      </w:tblGrid>
      <w:tr w:rsidR="007C6352" w:rsidRPr="00F8577F" w14:paraId="32D266E4" w14:textId="77777777" w:rsidTr="00850DD6">
        <w:tc>
          <w:tcPr>
            <w:tcW w:w="567" w:type="dxa"/>
          </w:tcPr>
          <w:p w14:paraId="5360B54E" w14:textId="77777777" w:rsidR="007C6352" w:rsidRPr="00F8577F" w:rsidRDefault="007C6352" w:rsidP="00200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77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14:paraId="40186361" w14:textId="77777777" w:rsidR="007C6352" w:rsidRPr="00F8577F" w:rsidRDefault="007C6352" w:rsidP="0020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77F">
              <w:rPr>
                <w:rFonts w:ascii="Arial" w:hAnsi="Arial" w:cs="Arial"/>
                <w:b/>
                <w:sz w:val="20"/>
                <w:szCs w:val="20"/>
              </w:rPr>
              <w:t>Найменування тарифу</w:t>
            </w:r>
          </w:p>
        </w:tc>
        <w:tc>
          <w:tcPr>
            <w:tcW w:w="5245" w:type="dxa"/>
          </w:tcPr>
          <w:p w14:paraId="02A94540" w14:textId="77777777" w:rsidR="007C6352" w:rsidRPr="00F8577F" w:rsidRDefault="007C6352" w:rsidP="0020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77F">
              <w:rPr>
                <w:rFonts w:ascii="Arial" w:hAnsi="Arial" w:cs="Arial"/>
                <w:b/>
                <w:sz w:val="20"/>
                <w:szCs w:val="20"/>
              </w:rPr>
              <w:t>Вартість</w:t>
            </w:r>
          </w:p>
        </w:tc>
      </w:tr>
      <w:tr w:rsidR="007C6352" w:rsidRPr="00F8577F" w14:paraId="0FEC9796" w14:textId="77777777" w:rsidTr="00850DD6">
        <w:tc>
          <w:tcPr>
            <w:tcW w:w="567" w:type="dxa"/>
          </w:tcPr>
          <w:p w14:paraId="4CC20CF9" w14:textId="77777777" w:rsidR="007C6352" w:rsidRPr="00F8577F" w:rsidRDefault="007C6352" w:rsidP="00200501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14:paraId="4B789CA0" w14:textId="68371657" w:rsidR="007C6352" w:rsidRPr="00F8577F" w:rsidRDefault="007C6352" w:rsidP="00200501">
            <w:pPr>
              <w:rPr>
                <w:rFonts w:ascii="Arial" w:hAnsi="Arial" w:cs="Arial"/>
                <w:sz w:val="20"/>
                <w:szCs w:val="20"/>
              </w:rPr>
            </w:pPr>
            <w:r w:rsidRPr="00F8577F">
              <w:rPr>
                <w:rFonts w:ascii="Arial" w:hAnsi="Arial" w:cs="Arial"/>
                <w:sz w:val="20"/>
                <w:szCs w:val="20"/>
              </w:rPr>
              <w:t>Допуск до клірингу зобов’язань на організованому ринку капіталу</w:t>
            </w:r>
          </w:p>
        </w:tc>
        <w:tc>
          <w:tcPr>
            <w:tcW w:w="5245" w:type="dxa"/>
          </w:tcPr>
          <w:p w14:paraId="6D1D7CBD" w14:textId="203538A1" w:rsidR="007C6352" w:rsidRPr="00F8577F" w:rsidRDefault="007C6352" w:rsidP="00E03B05">
            <w:pPr>
              <w:spacing w:after="160"/>
              <w:ind w:left="176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0,000001% від загальної суми зобов’язань за правочинами щодо цінних паперів</w:t>
            </w:r>
            <w:r w:rsidR="00874EFE" w:rsidRPr="006371BE">
              <w:rPr>
                <w:rFonts w:ascii="Arial" w:eastAsiaTheme="minorHAnsi" w:hAnsi="Arial" w:cs="Arial"/>
                <w:sz w:val="20"/>
                <w:szCs w:val="20"/>
                <w:lang w:val="ru-RU" w:eastAsia="en-US"/>
              </w:rPr>
              <w:t xml:space="preserve"> </w:t>
            </w:r>
            <w:r w:rsidR="00874E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 </w:t>
            </w:r>
            <w:proofErr w:type="spellStart"/>
            <w:r w:rsidR="00874E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деривативними</w:t>
            </w:r>
            <w:proofErr w:type="spellEnd"/>
            <w:r w:rsidR="00874E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контрактами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вчиненими</w:t>
            </w:r>
            <w:r w:rsidR="00874E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/ укладеними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організованому ринку капіталу протягом календарного місяця, кліринг та розрахунки за якими здійснює ПАТ </w:t>
            </w:r>
            <w:r w:rsidR="00763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F85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Розрахунковий центр</w:t>
            </w:r>
            <w:r w:rsidR="00763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</w:p>
          <w:p w14:paraId="1F475DF7" w14:textId="77777777" w:rsidR="007C6352" w:rsidRPr="00F8577F" w:rsidRDefault="007C6352" w:rsidP="00200501">
            <w:pPr>
              <w:spacing w:after="160"/>
              <w:ind w:left="34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02801A95" w14:textId="77777777" w:rsidR="007C6352" w:rsidRDefault="007C6352" w:rsidP="003915F7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C6352" w:rsidSect="00850DD6">
      <w:pgSz w:w="12240" w:h="15840"/>
      <w:pgMar w:top="567" w:right="851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4899"/>
    <w:multiLevelType w:val="hybridMultilevel"/>
    <w:tmpl w:val="5A2267E4"/>
    <w:lvl w:ilvl="0" w:tplc="F73E97C2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2864"/>
    <w:multiLevelType w:val="hybridMultilevel"/>
    <w:tmpl w:val="0DD6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204A"/>
    <w:multiLevelType w:val="hybridMultilevel"/>
    <w:tmpl w:val="43E65A32"/>
    <w:lvl w:ilvl="0" w:tplc="B07E863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30F71"/>
    <w:multiLevelType w:val="hybridMultilevel"/>
    <w:tmpl w:val="257EB6D6"/>
    <w:lvl w:ilvl="0" w:tplc="421A505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657C41"/>
    <w:multiLevelType w:val="hybridMultilevel"/>
    <w:tmpl w:val="0E2C2AFE"/>
    <w:lvl w:ilvl="0" w:tplc="4E36B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B5CD2"/>
    <w:multiLevelType w:val="hybridMultilevel"/>
    <w:tmpl w:val="4B2A0CB6"/>
    <w:lvl w:ilvl="0" w:tplc="8C8E9A8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80EF2"/>
    <w:multiLevelType w:val="hybridMultilevel"/>
    <w:tmpl w:val="EA043290"/>
    <w:lvl w:ilvl="0" w:tplc="7CF8A91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12418">
    <w:abstractNumId w:val="1"/>
  </w:num>
  <w:num w:numId="2" w16cid:durableId="1121846484">
    <w:abstractNumId w:val="6"/>
  </w:num>
  <w:num w:numId="3" w16cid:durableId="1268392036">
    <w:abstractNumId w:val="0"/>
  </w:num>
  <w:num w:numId="4" w16cid:durableId="588541914">
    <w:abstractNumId w:val="5"/>
  </w:num>
  <w:num w:numId="5" w16cid:durableId="1986081216">
    <w:abstractNumId w:val="2"/>
  </w:num>
  <w:num w:numId="6" w16cid:durableId="459957157">
    <w:abstractNumId w:val="4"/>
  </w:num>
  <w:num w:numId="7" w16cid:durableId="21928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A3"/>
    <w:rsid w:val="000044D1"/>
    <w:rsid w:val="00006528"/>
    <w:rsid w:val="0001311E"/>
    <w:rsid w:val="00017053"/>
    <w:rsid w:val="0001747B"/>
    <w:rsid w:val="0002218A"/>
    <w:rsid w:val="000248AA"/>
    <w:rsid w:val="00024F2E"/>
    <w:rsid w:val="00026DA6"/>
    <w:rsid w:val="00030FA5"/>
    <w:rsid w:val="0003159B"/>
    <w:rsid w:val="00033E6B"/>
    <w:rsid w:val="00047EF4"/>
    <w:rsid w:val="000641D0"/>
    <w:rsid w:val="00064287"/>
    <w:rsid w:val="000664EC"/>
    <w:rsid w:val="0007376B"/>
    <w:rsid w:val="0008087A"/>
    <w:rsid w:val="00087A79"/>
    <w:rsid w:val="000A2203"/>
    <w:rsid w:val="000A32B5"/>
    <w:rsid w:val="000B453D"/>
    <w:rsid w:val="000C5265"/>
    <w:rsid w:val="000C68C9"/>
    <w:rsid w:val="000C68D1"/>
    <w:rsid w:val="000E3DC3"/>
    <w:rsid w:val="000F14C0"/>
    <w:rsid w:val="000F3F3A"/>
    <w:rsid w:val="00101E80"/>
    <w:rsid w:val="001045C1"/>
    <w:rsid w:val="0011077D"/>
    <w:rsid w:val="00117E15"/>
    <w:rsid w:val="001208F9"/>
    <w:rsid w:val="00142F5F"/>
    <w:rsid w:val="001474C6"/>
    <w:rsid w:val="00150166"/>
    <w:rsid w:val="00151C64"/>
    <w:rsid w:val="00153155"/>
    <w:rsid w:val="001534A0"/>
    <w:rsid w:val="001614CD"/>
    <w:rsid w:val="00173704"/>
    <w:rsid w:val="0019205F"/>
    <w:rsid w:val="001A77E8"/>
    <w:rsid w:val="001A7EA8"/>
    <w:rsid w:val="001D3BBC"/>
    <w:rsid w:val="001F0169"/>
    <w:rsid w:val="001F3655"/>
    <w:rsid w:val="0023470A"/>
    <w:rsid w:val="002411DD"/>
    <w:rsid w:val="00242015"/>
    <w:rsid w:val="00250CC3"/>
    <w:rsid w:val="00260191"/>
    <w:rsid w:val="002643C7"/>
    <w:rsid w:val="00274C51"/>
    <w:rsid w:val="002A295B"/>
    <w:rsid w:val="002A3F82"/>
    <w:rsid w:val="002C0D69"/>
    <w:rsid w:val="002C498F"/>
    <w:rsid w:val="002C731D"/>
    <w:rsid w:val="002E2E2B"/>
    <w:rsid w:val="002F1210"/>
    <w:rsid w:val="002F4542"/>
    <w:rsid w:val="00301155"/>
    <w:rsid w:val="00307AB8"/>
    <w:rsid w:val="0032064A"/>
    <w:rsid w:val="00321620"/>
    <w:rsid w:val="0032280C"/>
    <w:rsid w:val="00322887"/>
    <w:rsid w:val="00323ECD"/>
    <w:rsid w:val="00325392"/>
    <w:rsid w:val="00326E1C"/>
    <w:rsid w:val="00327EC2"/>
    <w:rsid w:val="003335F4"/>
    <w:rsid w:val="00351947"/>
    <w:rsid w:val="00353316"/>
    <w:rsid w:val="00354622"/>
    <w:rsid w:val="00367310"/>
    <w:rsid w:val="00372152"/>
    <w:rsid w:val="003721C2"/>
    <w:rsid w:val="00375B60"/>
    <w:rsid w:val="00381277"/>
    <w:rsid w:val="003827DA"/>
    <w:rsid w:val="003915F7"/>
    <w:rsid w:val="00396EFD"/>
    <w:rsid w:val="003A25F1"/>
    <w:rsid w:val="003A30EC"/>
    <w:rsid w:val="003A35F0"/>
    <w:rsid w:val="003A364B"/>
    <w:rsid w:val="003A7911"/>
    <w:rsid w:val="003B73DD"/>
    <w:rsid w:val="003D2400"/>
    <w:rsid w:val="003D553A"/>
    <w:rsid w:val="003D7430"/>
    <w:rsid w:val="003E0166"/>
    <w:rsid w:val="003E2226"/>
    <w:rsid w:val="003E2608"/>
    <w:rsid w:val="003E3A93"/>
    <w:rsid w:val="003E4F0E"/>
    <w:rsid w:val="003E7AE1"/>
    <w:rsid w:val="003F19E2"/>
    <w:rsid w:val="003F23BD"/>
    <w:rsid w:val="003F4164"/>
    <w:rsid w:val="003F5527"/>
    <w:rsid w:val="003F6B2B"/>
    <w:rsid w:val="003F7DD1"/>
    <w:rsid w:val="00400B89"/>
    <w:rsid w:val="004069B1"/>
    <w:rsid w:val="00417EC7"/>
    <w:rsid w:val="00447B12"/>
    <w:rsid w:val="0045222F"/>
    <w:rsid w:val="00454480"/>
    <w:rsid w:val="00454807"/>
    <w:rsid w:val="004601C5"/>
    <w:rsid w:val="00470C1B"/>
    <w:rsid w:val="00474C0A"/>
    <w:rsid w:val="00485A83"/>
    <w:rsid w:val="00491FED"/>
    <w:rsid w:val="0049246D"/>
    <w:rsid w:val="004925B3"/>
    <w:rsid w:val="00492D46"/>
    <w:rsid w:val="004941AC"/>
    <w:rsid w:val="00495A0B"/>
    <w:rsid w:val="004A04DE"/>
    <w:rsid w:val="004A4C10"/>
    <w:rsid w:val="004C4F27"/>
    <w:rsid w:val="004C5BB7"/>
    <w:rsid w:val="004C6FFF"/>
    <w:rsid w:val="004D179E"/>
    <w:rsid w:val="004D26C3"/>
    <w:rsid w:val="004D4C54"/>
    <w:rsid w:val="004D55FC"/>
    <w:rsid w:val="004D58C7"/>
    <w:rsid w:val="004E1BB8"/>
    <w:rsid w:val="004F5AFD"/>
    <w:rsid w:val="004F68AD"/>
    <w:rsid w:val="005004BD"/>
    <w:rsid w:val="005070BD"/>
    <w:rsid w:val="0052202A"/>
    <w:rsid w:val="005221E0"/>
    <w:rsid w:val="00523E25"/>
    <w:rsid w:val="00527177"/>
    <w:rsid w:val="00530AEE"/>
    <w:rsid w:val="00530EFC"/>
    <w:rsid w:val="005355D0"/>
    <w:rsid w:val="00535E10"/>
    <w:rsid w:val="00540475"/>
    <w:rsid w:val="00540E83"/>
    <w:rsid w:val="00545A1F"/>
    <w:rsid w:val="00546350"/>
    <w:rsid w:val="00557E72"/>
    <w:rsid w:val="005616F8"/>
    <w:rsid w:val="00574E2E"/>
    <w:rsid w:val="00575879"/>
    <w:rsid w:val="00575DFD"/>
    <w:rsid w:val="00575F08"/>
    <w:rsid w:val="00580AC8"/>
    <w:rsid w:val="0058276F"/>
    <w:rsid w:val="00582898"/>
    <w:rsid w:val="00584705"/>
    <w:rsid w:val="00584B80"/>
    <w:rsid w:val="00585EAA"/>
    <w:rsid w:val="005A0C95"/>
    <w:rsid w:val="005A23AE"/>
    <w:rsid w:val="005A5592"/>
    <w:rsid w:val="005B3FC8"/>
    <w:rsid w:val="005C5242"/>
    <w:rsid w:val="005C56B8"/>
    <w:rsid w:val="005C7EA5"/>
    <w:rsid w:val="005D195E"/>
    <w:rsid w:val="005D377F"/>
    <w:rsid w:val="005F2CA9"/>
    <w:rsid w:val="006028B7"/>
    <w:rsid w:val="00607614"/>
    <w:rsid w:val="006122B5"/>
    <w:rsid w:val="0062293A"/>
    <w:rsid w:val="006371BE"/>
    <w:rsid w:val="00640532"/>
    <w:rsid w:val="00646EB9"/>
    <w:rsid w:val="00647C09"/>
    <w:rsid w:val="00652D3C"/>
    <w:rsid w:val="006621EA"/>
    <w:rsid w:val="00664F57"/>
    <w:rsid w:val="006824B8"/>
    <w:rsid w:val="00687B93"/>
    <w:rsid w:val="00693BD7"/>
    <w:rsid w:val="006954FB"/>
    <w:rsid w:val="006A1903"/>
    <w:rsid w:val="006B4318"/>
    <w:rsid w:val="006C10BE"/>
    <w:rsid w:val="006C5057"/>
    <w:rsid w:val="006D08A7"/>
    <w:rsid w:val="006E0E57"/>
    <w:rsid w:val="006E2725"/>
    <w:rsid w:val="006E2EAF"/>
    <w:rsid w:val="006F1B5F"/>
    <w:rsid w:val="007160A3"/>
    <w:rsid w:val="00717FDB"/>
    <w:rsid w:val="00721881"/>
    <w:rsid w:val="00722182"/>
    <w:rsid w:val="00731A24"/>
    <w:rsid w:val="007346E3"/>
    <w:rsid w:val="007543FC"/>
    <w:rsid w:val="0076305A"/>
    <w:rsid w:val="00763F7F"/>
    <w:rsid w:val="00765FAA"/>
    <w:rsid w:val="00766D17"/>
    <w:rsid w:val="00774CB6"/>
    <w:rsid w:val="007764A6"/>
    <w:rsid w:val="00784E5A"/>
    <w:rsid w:val="00792AF1"/>
    <w:rsid w:val="007A164C"/>
    <w:rsid w:val="007A55E6"/>
    <w:rsid w:val="007A6606"/>
    <w:rsid w:val="007B7341"/>
    <w:rsid w:val="007C6352"/>
    <w:rsid w:val="007E25EF"/>
    <w:rsid w:val="007E77A3"/>
    <w:rsid w:val="007F39F2"/>
    <w:rsid w:val="007F618D"/>
    <w:rsid w:val="008007B6"/>
    <w:rsid w:val="008018FE"/>
    <w:rsid w:val="00801AE7"/>
    <w:rsid w:val="008037B2"/>
    <w:rsid w:val="00807893"/>
    <w:rsid w:val="00811411"/>
    <w:rsid w:val="008122EA"/>
    <w:rsid w:val="00813C43"/>
    <w:rsid w:val="008178C8"/>
    <w:rsid w:val="00822E75"/>
    <w:rsid w:val="00835525"/>
    <w:rsid w:val="00835667"/>
    <w:rsid w:val="008417BA"/>
    <w:rsid w:val="00850DD6"/>
    <w:rsid w:val="008529AF"/>
    <w:rsid w:val="00857ACD"/>
    <w:rsid w:val="00860EAD"/>
    <w:rsid w:val="00864115"/>
    <w:rsid w:val="00867265"/>
    <w:rsid w:val="008712AC"/>
    <w:rsid w:val="00874EFE"/>
    <w:rsid w:val="00894797"/>
    <w:rsid w:val="008A514E"/>
    <w:rsid w:val="008B188D"/>
    <w:rsid w:val="008B30F1"/>
    <w:rsid w:val="008B6D7E"/>
    <w:rsid w:val="008B6E2B"/>
    <w:rsid w:val="008C58D0"/>
    <w:rsid w:val="008C7C63"/>
    <w:rsid w:val="008D1568"/>
    <w:rsid w:val="008D28F3"/>
    <w:rsid w:val="008D5896"/>
    <w:rsid w:val="008D596B"/>
    <w:rsid w:val="008D7901"/>
    <w:rsid w:val="008E4E3C"/>
    <w:rsid w:val="008F0AD0"/>
    <w:rsid w:val="008F6993"/>
    <w:rsid w:val="009077B6"/>
    <w:rsid w:val="00913759"/>
    <w:rsid w:val="00914ABC"/>
    <w:rsid w:val="00914CF5"/>
    <w:rsid w:val="00926056"/>
    <w:rsid w:val="00927938"/>
    <w:rsid w:val="00932D9E"/>
    <w:rsid w:val="009404DC"/>
    <w:rsid w:val="0094424E"/>
    <w:rsid w:val="00954DBD"/>
    <w:rsid w:val="00954E2E"/>
    <w:rsid w:val="00961B7C"/>
    <w:rsid w:val="00962F41"/>
    <w:rsid w:val="00963A7D"/>
    <w:rsid w:val="009662F2"/>
    <w:rsid w:val="00970E5D"/>
    <w:rsid w:val="00973754"/>
    <w:rsid w:val="00980152"/>
    <w:rsid w:val="00984A6A"/>
    <w:rsid w:val="00986BD2"/>
    <w:rsid w:val="00990BB9"/>
    <w:rsid w:val="0099284F"/>
    <w:rsid w:val="009937DC"/>
    <w:rsid w:val="00994A41"/>
    <w:rsid w:val="0099768A"/>
    <w:rsid w:val="009A356A"/>
    <w:rsid w:val="009A7696"/>
    <w:rsid w:val="009B333B"/>
    <w:rsid w:val="009D4AB7"/>
    <w:rsid w:val="009E0776"/>
    <w:rsid w:val="009E26B3"/>
    <w:rsid w:val="009E36A4"/>
    <w:rsid w:val="009E4C74"/>
    <w:rsid w:val="009E5EB8"/>
    <w:rsid w:val="009E71A3"/>
    <w:rsid w:val="009F33B5"/>
    <w:rsid w:val="00A0061F"/>
    <w:rsid w:val="00A017FB"/>
    <w:rsid w:val="00A07160"/>
    <w:rsid w:val="00A44A32"/>
    <w:rsid w:val="00A46914"/>
    <w:rsid w:val="00A470F5"/>
    <w:rsid w:val="00A508BD"/>
    <w:rsid w:val="00A52B76"/>
    <w:rsid w:val="00A57886"/>
    <w:rsid w:val="00A62255"/>
    <w:rsid w:val="00A63C31"/>
    <w:rsid w:val="00A65909"/>
    <w:rsid w:val="00A7028C"/>
    <w:rsid w:val="00A76E0A"/>
    <w:rsid w:val="00A77117"/>
    <w:rsid w:val="00A80591"/>
    <w:rsid w:val="00A8378F"/>
    <w:rsid w:val="00A841F6"/>
    <w:rsid w:val="00A848C2"/>
    <w:rsid w:val="00A87F33"/>
    <w:rsid w:val="00A96C6F"/>
    <w:rsid w:val="00AB05FF"/>
    <w:rsid w:val="00AB22C6"/>
    <w:rsid w:val="00AB30B8"/>
    <w:rsid w:val="00AB5AA8"/>
    <w:rsid w:val="00AC113A"/>
    <w:rsid w:val="00AD0CB2"/>
    <w:rsid w:val="00AD2172"/>
    <w:rsid w:val="00AE414E"/>
    <w:rsid w:val="00AE512A"/>
    <w:rsid w:val="00AF09B8"/>
    <w:rsid w:val="00AF26F8"/>
    <w:rsid w:val="00AF4095"/>
    <w:rsid w:val="00B0070A"/>
    <w:rsid w:val="00B0214F"/>
    <w:rsid w:val="00B07839"/>
    <w:rsid w:val="00B150EE"/>
    <w:rsid w:val="00B17ADF"/>
    <w:rsid w:val="00B249B7"/>
    <w:rsid w:val="00B35D7D"/>
    <w:rsid w:val="00B471D0"/>
    <w:rsid w:val="00B503AB"/>
    <w:rsid w:val="00B5045D"/>
    <w:rsid w:val="00B61398"/>
    <w:rsid w:val="00B6142C"/>
    <w:rsid w:val="00B66AFD"/>
    <w:rsid w:val="00B8104C"/>
    <w:rsid w:val="00B86A09"/>
    <w:rsid w:val="00B953AE"/>
    <w:rsid w:val="00BA0CA2"/>
    <w:rsid w:val="00BA5BCC"/>
    <w:rsid w:val="00BA684E"/>
    <w:rsid w:val="00BB19AD"/>
    <w:rsid w:val="00BB438A"/>
    <w:rsid w:val="00BB79F4"/>
    <w:rsid w:val="00BC3F3A"/>
    <w:rsid w:val="00BC7851"/>
    <w:rsid w:val="00BD04E8"/>
    <w:rsid w:val="00BD4320"/>
    <w:rsid w:val="00BF0E3D"/>
    <w:rsid w:val="00BF37F7"/>
    <w:rsid w:val="00C00E21"/>
    <w:rsid w:val="00C15E4E"/>
    <w:rsid w:val="00C167E1"/>
    <w:rsid w:val="00C23896"/>
    <w:rsid w:val="00C35698"/>
    <w:rsid w:val="00C4133F"/>
    <w:rsid w:val="00C4515C"/>
    <w:rsid w:val="00C4762A"/>
    <w:rsid w:val="00C50626"/>
    <w:rsid w:val="00C67B69"/>
    <w:rsid w:val="00C8056A"/>
    <w:rsid w:val="00C83596"/>
    <w:rsid w:val="00C92E57"/>
    <w:rsid w:val="00C9601A"/>
    <w:rsid w:val="00CB1222"/>
    <w:rsid w:val="00CB1DA0"/>
    <w:rsid w:val="00CB4806"/>
    <w:rsid w:val="00CB4A65"/>
    <w:rsid w:val="00CB4E56"/>
    <w:rsid w:val="00CB56BC"/>
    <w:rsid w:val="00CB7A44"/>
    <w:rsid w:val="00CC11CA"/>
    <w:rsid w:val="00CD3807"/>
    <w:rsid w:val="00CE25C7"/>
    <w:rsid w:val="00CE5757"/>
    <w:rsid w:val="00D10422"/>
    <w:rsid w:val="00D11511"/>
    <w:rsid w:val="00D16ACE"/>
    <w:rsid w:val="00D233F1"/>
    <w:rsid w:val="00D23554"/>
    <w:rsid w:val="00D25845"/>
    <w:rsid w:val="00D37003"/>
    <w:rsid w:val="00D436A1"/>
    <w:rsid w:val="00D45048"/>
    <w:rsid w:val="00D47F78"/>
    <w:rsid w:val="00D500A5"/>
    <w:rsid w:val="00D50B2E"/>
    <w:rsid w:val="00D51973"/>
    <w:rsid w:val="00D523E7"/>
    <w:rsid w:val="00D53735"/>
    <w:rsid w:val="00D633AA"/>
    <w:rsid w:val="00D65510"/>
    <w:rsid w:val="00D959BF"/>
    <w:rsid w:val="00D96AF3"/>
    <w:rsid w:val="00D97F3E"/>
    <w:rsid w:val="00DA1BF0"/>
    <w:rsid w:val="00DA5574"/>
    <w:rsid w:val="00DA5D74"/>
    <w:rsid w:val="00DA7AB6"/>
    <w:rsid w:val="00DB31B2"/>
    <w:rsid w:val="00DB4BC9"/>
    <w:rsid w:val="00DB5315"/>
    <w:rsid w:val="00DC015E"/>
    <w:rsid w:val="00DD2055"/>
    <w:rsid w:val="00DD5362"/>
    <w:rsid w:val="00DD7239"/>
    <w:rsid w:val="00DD74ED"/>
    <w:rsid w:val="00DD7F59"/>
    <w:rsid w:val="00DE26EB"/>
    <w:rsid w:val="00DE48A1"/>
    <w:rsid w:val="00DF10AB"/>
    <w:rsid w:val="00DF2A39"/>
    <w:rsid w:val="00DF5E00"/>
    <w:rsid w:val="00E03B05"/>
    <w:rsid w:val="00E03C0F"/>
    <w:rsid w:val="00E17BC0"/>
    <w:rsid w:val="00E21360"/>
    <w:rsid w:val="00E37FBF"/>
    <w:rsid w:val="00E43638"/>
    <w:rsid w:val="00E56628"/>
    <w:rsid w:val="00E61C1C"/>
    <w:rsid w:val="00E61F97"/>
    <w:rsid w:val="00E62B7E"/>
    <w:rsid w:val="00E75D58"/>
    <w:rsid w:val="00E81358"/>
    <w:rsid w:val="00E87FF6"/>
    <w:rsid w:val="00E95FA7"/>
    <w:rsid w:val="00EA07E5"/>
    <w:rsid w:val="00EA112C"/>
    <w:rsid w:val="00EA19C6"/>
    <w:rsid w:val="00EB6D5B"/>
    <w:rsid w:val="00EC2267"/>
    <w:rsid w:val="00EC25C8"/>
    <w:rsid w:val="00ED110F"/>
    <w:rsid w:val="00ED2DB8"/>
    <w:rsid w:val="00EE04E8"/>
    <w:rsid w:val="00EE73E6"/>
    <w:rsid w:val="00EF14A1"/>
    <w:rsid w:val="00F04AFC"/>
    <w:rsid w:val="00F05324"/>
    <w:rsid w:val="00F11875"/>
    <w:rsid w:val="00F20DD1"/>
    <w:rsid w:val="00F251D7"/>
    <w:rsid w:val="00F27736"/>
    <w:rsid w:val="00F301D7"/>
    <w:rsid w:val="00F34B77"/>
    <w:rsid w:val="00F4206E"/>
    <w:rsid w:val="00F51CA0"/>
    <w:rsid w:val="00F548C7"/>
    <w:rsid w:val="00F556E0"/>
    <w:rsid w:val="00F567B7"/>
    <w:rsid w:val="00F63194"/>
    <w:rsid w:val="00F64D3D"/>
    <w:rsid w:val="00F71AA6"/>
    <w:rsid w:val="00F8577F"/>
    <w:rsid w:val="00F901E2"/>
    <w:rsid w:val="00FA1A10"/>
    <w:rsid w:val="00FA3BA4"/>
    <w:rsid w:val="00FA4D46"/>
    <w:rsid w:val="00FA77C6"/>
    <w:rsid w:val="00FB6616"/>
    <w:rsid w:val="00FC6757"/>
    <w:rsid w:val="00FD364D"/>
    <w:rsid w:val="00FD40DD"/>
    <w:rsid w:val="00FE3FFA"/>
    <w:rsid w:val="00FE5DA1"/>
    <w:rsid w:val="00FF2294"/>
    <w:rsid w:val="00FF27F9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58D4"/>
  <w15:docId w15:val="{5E8FD72B-61AB-44CD-A82C-E7E37A3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30E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C25C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C25C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EC25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25C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C25C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018F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73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Revision"/>
    <w:hidden/>
    <w:uiPriority w:val="99"/>
    <w:semiHidden/>
    <w:rsid w:val="00396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1870-82A8-4A35-AAB1-E2E19362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1784</Words>
  <Characters>10170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VDCP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</dc:creator>
  <cp:lastModifiedBy>Вікторія Пшоновська</cp:lastModifiedBy>
  <cp:revision>4</cp:revision>
  <cp:lastPrinted>2023-11-10T15:07:00Z</cp:lastPrinted>
  <dcterms:created xsi:type="dcterms:W3CDTF">2024-08-27T10:35:00Z</dcterms:created>
  <dcterms:modified xsi:type="dcterms:W3CDTF">2024-09-12T13:45:00Z</dcterms:modified>
</cp:coreProperties>
</file>